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41440C" w:rsidRPr="00D060AB">
        <w:rPr>
          <w:rFonts w:ascii="Arial" w:hAnsi="Arial" w:cs="Arial"/>
          <w:sz w:val="22"/>
          <w:szCs w:val="22"/>
        </w:rPr>
        <w:fldChar w:fldCharType="begin"/>
      </w:r>
      <w:r w:rsidR="0041440C"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DOKUMENTACIJA O NABAVI</w:t>
      </w:r>
    </w:p>
    <w:p w:rsidR="007A7C3D" w:rsidRPr="00D060AB" w:rsidRDefault="007A7C3D" w:rsidP="007A7C3D">
      <w:pPr>
        <w:jc w:val="center"/>
        <w:rPr>
          <w:rFonts w:ascii="Arial" w:hAnsi="Arial" w:cs="Arial"/>
          <w:b/>
          <w:sz w:val="22"/>
          <w:szCs w:val="22"/>
          <w:lang w:val="hr-HR"/>
        </w:rPr>
      </w:pPr>
    </w:p>
    <w:p w:rsidR="00107FBC" w:rsidRPr="00107FBC" w:rsidRDefault="007A7C3D" w:rsidP="00457FD2">
      <w:pPr>
        <w:jc w:val="center"/>
        <w:rPr>
          <w:rFonts w:ascii="Arial" w:hAnsi="Arial" w:cs="Arial"/>
          <w:b/>
          <w:sz w:val="22"/>
          <w:szCs w:val="22"/>
          <w:lang w:val="hr-HR"/>
        </w:rPr>
      </w:pPr>
      <w:r w:rsidRPr="00D060AB">
        <w:rPr>
          <w:rFonts w:ascii="Arial" w:hAnsi="Arial" w:cs="Arial"/>
          <w:b/>
          <w:sz w:val="22"/>
          <w:szCs w:val="22"/>
          <w:lang w:val="hr-HR"/>
        </w:rPr>
        <w:t>za provedbu postupk</w:t>
      </w:r>
      <w:r w:rsidR="00457FD2">
        <w:rPr>
          <w:rFonts w:ascii="Arial" w:hAnsi="Arial" w:cs="Arial"/>
          <w:b/>
          <w:sz w:val="22"/>
          <w:szCs w:val="22"/>
          <w:lang w:val="hr-HR"/>
        </w:rPr>
        <w:t xml:space="preserve">a javne nabave </w:t>
      </w:r>
      <w:r w:rsidR="00457FD2" w:rsidRPr="00107FBC">
        <w:rPr>
          <w:rFonts w:ascii="Arial" w:hAnsi="Arial" w:cs="Arial"/>
          <w:b/>
          <w:sz w:val="22"/>
          <w:szCs w:val="22"/>
          <w:lang w:val="hr-HR"/>
        </w:rPr>
        <w:t xml:space="preserve">radova </w:t>
      </w:r>
      <w:proofErr w:type="spellStart"/>
      <w:r w:rsidR="00107FBC" w:rsidRPr="00107FBC">
        <w:rPr>
          <w:rFonts w:ascii="Arial" w:hAnsi="Arial" w:cs="Arial"/>
          <w:b/>
          <w:sz w:val="22"/>
          <w:szCs w:val="22"/>
        </w:rPr>
        <w:t>sanacije</w:t>
      </w:r>
      <w:proofErr w:type="spellEnd"/>
      <w:r w:rsidR="00107FBC" w:rsidRPr="00107FBC">
        <w:rPr>
          <w:rFonts w:ascii="Arial" w:hAnsi="Arial" w:cs="Arial"/>
          <w:b/>
          <w:sz w:val="22"/>
          <w:szCs w:val="22"/>
        </w:rPr>
        <w:t xml:space="preserve"> </w:t>
      </w:r>
      <w:proofErr w:type="spellStart"/>
      <w:r w:rsidR="00107FBC" w:rsidRPr="00107FBC">
        <w:rPr>
          <w:rFonts w:ascii="Arial" w:hAnsi="Arial" w:cs="Arial"/>
          <w:b/>
          <w:sz w:val="22"/>
          <w:szCs w:val="22"/>
        </w:rPr>
        <w:t>potresom</w:t>
      </w:r>
      <w:proofErr w:type="spellEnd"/>
      <w:r w:rsidR="00107FBC" w:rsidRPr="00107FBC">
        <w:rPr>
          <w:rFonts w:ascii="Arial" w:hAnsi="Arial" w:cs="Arial"/>
          <w:b/>
          <w:sz w:val="22"/>
          <w:szCs w:val="22"/>
        </w:rPr>
        <w:t xml:space="preserve"> </w:t>
      </w:r>
      <w:proofErr w:type="spellStart"/>
      <w:r w:rsidR="00107FBC" w:rsidRPr="00107FBC">
        <w:rPr>
          <w:rFonts w:ascii="Arial" w:hAnsi="Arial" w:cs="Arial"/>
          <w:b/>
          <w:sz w:val="22"/>
          <w:szCs w:val="22"/>
        </w:rPr>
        <w:t>oštećene</w:t>
      </w:r>
      <w:proofErr w:type="spellEnd"/>
      <w:r w:rsidR="00107FBC" w:rsidRPr="00107FBC">
        <w:rPr>
          <w:rFonts w:ascii="Arial" w:hAnsi="Arial" w:cs="Arial"/>
          <w:b/>
          <w:sz w:val="22"/>
          <w:szCs w:val="22"/>
        </w:rPr>
        <w:t xml:space="preserve"> </w:t>
      </w:r>
    </w:p>
    <w:p w:rsidR="007A7C3D" w:rsidRPr="00457FD2" w:rsidRDefault="000B0E7E" w:rsidP="00457FD2">
      <w:pPr>
        <w:jc w:val="center"/>
        <w:rPr>
          <w:rFonts w:ascii="Arial" w:hAnsi="Arial" w:cs="Arial"/>
          <w:b/>
          <w:sz w:val="22"/>
          <w:szCs w:val="22"/>
          <w:lang w:val="hr-HR"/>
        </w:rPr>
      </w:pPr>
      <w:r w:rsidRPr="00457FD2">
        <w:rPr>
          <w:rFonts w:ascii="Arial" w:hAnsi="Arial" w:cs="Arial"/>
          <w:b/>
          <w:sz w:val="22"/>
          <w:szCs w:val="22"/>
          <w:lang w:val="hr-HR"/>
        </w:rPr>
        <w:t xml:space="preserve"> </w:t>
      </w:r>
      <w:r w:rsidR="00107FBC">
        <w:rPr>
          <w:rFonts w:ascii="Arial" w:hAnsi="Arial" w:cs="Arial"/>
          <w:b/>
          <w:sz w:val="22"/>
          <w:szCs w:val="22"/>
          <w:lang w:val="hr-HR"/>
        </w:rPr>
        <w:t xml:space="preserve">Osnovne škole </w:t>
      </w:r>
      <w:proofErr w:type="spellStart"/>
      <w:r w:rsidR="00457FD2" w:rsidRPr="00457FD2">
        <w:rPr>
          <w:rFonts w:ascii="Arial" w:hAnsi="Arial" w:cs="Arial"/>
          <w:b/>
          <w:sz w:val="22"/>
        </w:rPr>
        <w:t>Lju</w:t>
      </w:r>
      <w:r w:rsidR="00457FD2">
        <w:rPr>
          <w:rFonts w:ascii="Arial" w:hAnsi="Arial" w:cs="Arial"/>
          <w:b/>
          <w:sz w:val="22"/>
        </w:rPr>
        <w:t>devita</w:t>
      </w:r>
      <w:proofErr w:type="spellEnd"/>
      <w:r w:rsidR="00457FD2">
        <w:rPr>
          <w:rFonts w:ascii="Arial" w:hAnsi="Arial" w:cs="Arial"/>
          <w:b/>
          <w:sz w:val="22"/>
        </w:rPr>
        <w:t xml:space="preserve"> </w:t>
      </w:r>
      <w:proofErr w:type="spellStart"/>
      <w:r w:rsidR="00457FD2" w:rsidRPr="00457FD2">
        <w:rPr>
          <w:rFonts w:ascii="Arial" w:hAnsi="Arial" w:cs="Arial"/>
          <w:b/>
          <w:sz w:val="22"/>
        </w:rPr>
        <w:t>Modeca</w:t>
      </w:r>
      <w:proofErr w:type="spellEnd"/>
      <w:r w:rsidRPr="00457FD2">
        <w:rPr>
          <w:rFonts w:ascii="Arial" w:hAnsi="Arial" w:cs="Arial"/>
          <w:b/>
          <w:sz w:val="22"/>
          <w:szCs w:val="22"/>
          <w:lang w:val="hr-HR"/>
        </w:rPr>
        <w:t xml:space="preserve"> Križevci</w:t>
      </w: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C67AC8" w:rsidP="007A7C3D">
      <w:pPr>
        <w:jc w:val="center"/>
        <w:rPr>
          <w:rFonts w:ascii="Arial" w:hAnsi="Arial" w:cs="Arial"/>
          <w:b/>
          <w:sz w:val="22"/>
          <w:szCs w:val="22"/>
          <w:lang w:val="hr-HR"/>
        </w:rPr>
      </w:pPr>
      <w:proofErr w:type="spellStart"/>
      <w:r w:rsidRPr="00D060AB">
        <w:rPr>
          <w:rFonts w:ascii="Arial" w:hAnsi="Arial" w:cs="Arial"/>
          <w:b/>
          <w:sz w:val="22"/>
          <w:szCs w:val="22"/>
          <w:lang w:val="hr-HR"/>
        </w:rPr>
        <w:t>Ev</w:t>
      </w:r>
      <w:proofErr w:type="spellEnd"/>
      <w:r w:rsidRPr="00D060AB">
        <w:rPr>
          <w:rFonts w:ascii="Arial" w:hAnsi="Arial" w:cs="Arial"/>
          <w:b/>
          <w:sz w:val="22"/>
          <w:szCs w:val="22"/>
          <w:lang w:val="hr-HR"/>
        </w:rPr>
        <w:t>. br. OPMV/2022</w:t>
      </w:r>
      <w:r w:rsidR="007A7C3D" w:rsidRPr="00D060AB">
        <w:rPr>
          <w:rFonts w:ascii="Arial" w:hAnsi="Arial" w:cs="Arial"/>
          <w:b/>
          <w:sz w:val="22"/>
          <w:szCs w:val="22"/>
          <w:lang w:val="hr-HR"/>
        </w:rPr>
        <w:t>-</w:t>
      </w:r>
      <w:r w:rsidR="00646609">
        <w:rPr>
          <w:rFonts w:ascii="Arial" w:hAnsi="Arial" w:cs="Arial"/>
          <w:b/>
          <w:sz w:val="22"/>
          <w:szCs w:val="22"/>
          <w:lang w:val="hr-HR"/>
        </w:rPr>
        <w:t>11</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A528DC">
        <w:rPr>
          <w:rFonts w:ascii="Arial" w:hAnsi="Arial" w:cs="Arial"/>
          <w:sz w:val="22"/>
          <w:szCs w:val="22"/>
          <w:lang w:val="hr-HR"/>
        </w:rPr>
        <w:t>prosinac</w:t>
      </w:r>
      <w:r w:rsidR="000B0E7E">
        <w:rPr>
          <w:rFonts w:ascii="Arial" w:hAnsi="Arial" w:cs="Arial"/>
          <w:sz w:val="22"/>
          <w:szCs w:val="22"/>
          <w:lang w:val="hr-HR"/>
        </w:rPr>
        <w:t xml:space="preserve"> </w:t>
      </w:r>
      <w:r w:rsidRPr="00D060AB">
        <w:rPr>
          <w:rFonts w:ascii="Arial" w:hAnsi="Arial" w:cs="Arial"/>
          <w:sz w:val="22"/>
          <w:szCs w:val="22"/>
          <w:lang w:val="hr-HR"/>
        </w:rPr>
        <w:t>202</w:t>
      </w:r>
      <w:r w:rsidR="00C67AC8" w:rsidRPr="00D060AB">
        <w:rPr>
          <w:rFonts w:ascii="Arial" w:hAnsi="Arial" w:cs="Arial"/>
          <w:sz w:val="22"/>
          <w:szCs w:val="22"/>
          <w:lang w:val="hr-HR"/>
        </w:rPr>
        <w:t>2</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Default="007A7C3D" w:rsidP="007A7C3D">
      <w:pPr>
        <w:rPr>
          <w:rFonts w:ascii="Arial" w:hAnsi="Arial" w:cs="Arial"/>
          <w:sz w:val="22"/>
          <w:szCs w:val="22"/>
          <w:lang w:val="hr-HR"/>
        </w:rPr>
      </w:pPr>
    </w:p>
    <w:p w:rsidR="00A528DC" w:rsidRPr="00D060AB" w:rsidRDefault="00A528DC"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107FBC" w:rsidRPr="00107FBC" w:rsidRDefault="00107FBC" w:rsidP="00107FBC">
      <w:pPr>
        <w:pStyle w:val="Odlomakpopisa"/>
        <w:rPr>
          <w:rFonts w:ascii="Arial" w:eastAsia="Calibri" w:hAnsi="Arial" w:cs="Arial"/>
          <w:b/>
          <w:sz w:val="22"/>
          <w:szCs w:val="22"/>
          <w:lang w:val="hr-HR"/>
        </w:rPr>
      </w:pPr>
    </w:p>
    <w:p w:rsidR="00107FBC" w:rsidRPr="008C46D7" w:rsidRDefault="00107FBC" w:rsidP="008C46D7">
      <w:pPr>
        <w:pStyle w:val="Odlomakpopisa"/>
        <w:numPr>
          <w:ilvl w:val="0"/>
          <w:numId w:val="9"/>
        </w:numPr>
        <w:rPr>
          <w:rFonts w:ascii="Arial" w:eastAsia="Calibri" w:hAnsi="Arial" w:cs="Arial"/>
          <w:b/>
          <w:sz w:val="22"/>
          <w:szCs w:val="22"/>
          <w:lang w:val="hr-HR"/>
        </w:rPr>
      </w:pPr>
      <w:r>
        <w:rPr>
          <w:rFonts w:ascii="Arial" w:eastAsia="Calibri" w:hAnsi="Arial" w:cs="Arial"/>
          <w:b/>
          <w:sz w:val="22"/>
          <w:szCs w:val="22"/>
          <w:lang w:val="hr-HR"/>
        </w:rPr>
        <w:t>TEHNIČKI OPIS SANACIJE</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691C5C">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w:t>
            </w:r>
            <w:r w:rsidR="00AB1B78">
              <w:rPr>
                <w:rFonts w:ascii="Arial" w:hAnsi="Arial" w:cs="Arial"/>
                <w:sz w:val="22"/>
                <w:szCs w:val="22"/>
                <w:lang w:val="hr-HR"/>
              </w:rPr>
              <w:t xml:space="preserve">''Narodne novine'', broj 65/17 i </w:t>
            </w:r>
            <w:r w:rsidRPr="00D060AB">
              <w:rPr>
                <w:rFonts w:ascii="Arial" w:hAnsi="Arial" w:cs="Arial"/>
                <w:sz w:val="22"/>
                <w:szCs w:val="22"/>
                <w:lang w:val="hr-HR"/>
              </w:rPr>
              <w:t>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w:t>
            </w:r>
            <w:r w:rsidRPr="00107FBC">
              <w:rPr>
                <w:rFonts w:ascii="Arial" w:hAnsi="Arial" w:cs="Arial"/>
                <w:sz w:val="22"/>
                <w:szCs w:val="22"/>
                <w:lang w:val="hr-HR"/>
              </w:rPr>
              <w:t xml:space="preserve">provedbu postupka javne nabave radova </w:t>
            </w:r>
            <w:proofErr w:type="spellStart"/>
            <w:r w:rsidR="00107FBC" w:rsidRPr="00107FBC">
              <w:rPr>
                <w:rFonts w:ascii="Arial" w:hAnsi="Arial" w:cs="Arial"/>
                <w:sz w:val="22"/>
                <w:szCs w:val="22"/>
              </w:rPr>
              <w:t>sanacije</w:t>
            </w:r>
            <w:proofErr w:type="spellEnd"/>
            <w:r w:rsidR="00107FBC" w:rsidRPr="00107FBC">
              <w:rPr>
                <w:rFonts w:ascii="Arial" w:hAnsi="Arial" w:cs="Arial"/>
                <w:sz w:val="22"/>
                <w:szCs w:val="22"/>
              </w:rPr>
              <w:t xml:space="preserve"> </w:t>
            </w:r>
            <w:proofErr w:type="spellStart"/>
            <w:r w:rsidR="00107FBC" w:rsidRPr="00107FBC">
              <w:rPr>
                <w:rFonts w:ascii="Arial" w:hAnsi="Arial" w:cs="Arial"/>
                <w:sz w:val="22"/>
                <w:szCs w:val="22"/>
              </w:rPr>
              <w:t>potresom</w:t>
            </w:r>
            <w:proofErr w:type="spellEnd"/>
            <w:r w:rsidR="00107FBC" w:rsidRPr="00107FBC">
              <w:rPr>
                <w:rFonts w:ascii="Arial" w:hAnsi="Arial" w:cs="Arial"/>
                <w:sz w:val="22"/>
                <w:szCs w:val="22"/>
              </w:rPr>
              <w:t xml:space="preserve"> </w:t>
            </w:r>
            <w:proofErr w:type="spellStart"/>
            <w:r w:rsidR="00107FBC" w:rsidRPr="00107FBC">
              <w:rPr>
                <w:rFonts w:ascii="Arial" w:hAnsi="Arial" w:cs="Arial"/>
                <w:sz w:val="22"/>
                <w:szCs w:val="22"/>
              </w:rPr>
              <w:t>oštećene</w:t>
            </w:r>
            <w:proofErr w:type="spellEnd"/>
            <w:r w:rsidR="00107FBC" w:rsidRPr="00107FBC">
              <w:rPr>
                <w:rFonts w:ascii="Arial" w:hAnsi="Arial" w:cs="Arial"/>
                <w:sz w:val="22"/>
                <w:szCs w:val="22"/>
              </w:rPr>
              <w:t xml:space="preserve"> </w:t>
            </w:r>
            <w:r w:rsidR="00457FD2" w:rsidRPr="00107FBC">
              <w:rPr>
                <w:rFonts w:ascii="Arial" w:hAnsi="Arial" w:cs="Arial"/>
                <w:sz w:val="22"/>
                <w:szCs w:val="22"/>
                <w:lang w:val="hr-HR"/>
              </w:rPr>
              <w:t xml:space="preserve">Osnovne škole Ljudevita </w:t>
            </w:r>
            <w:proofErr w:type="spellStart"/>
            <w:r w:rsidR="00457FD2" w:rsidRPr="00107FBC">
              <w:rPr>
                <w:rFonts w:ascii="Arial" w:hAnsi="Arial" w:cs="Arial"/>
                <w:sz w:val="22"/>
                <w:szCs w:val="22"/>
                <w:lang w:val="hr-HR"/>
              </w:rPr>
              <w:t>Modeca</w:t>
            </w:r>
            <w:proofErr w:type="spellEnd"/>
            <w:r w:rsidR="000B0E7E" w:rsidRPr="00107FBC">
              <w:rPr>
                <w:rFonts w:ascii="Arial" w:hAnsi="Arial" w:cs="Arial"/>
                <w:sz w:val="22"/>
                <w:szCs w:val="22"/>
                <w:lang w:val="hr-HR"/>
              </w:rPr>
              <w:t xml:space="preserve"> Križevci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w:t>
      </w:r>
      <w:r w:rsidR="00492094">
        <w:rPr>
          <w:rFonts w:ascii="Arial" w:hAnsi="Arial" w:cs="Arial"/>
          <w:sz w:val="22"/>
          <w:szCs w:val="22"/>
          <w:lang w:val="hr-HR"/>
        </w:rPr>
        <w:t xml:space="preserve">anka 200. ZJN </w:t>
      </w:r>
      <w:r w:rsidRPr="00D060AB">
        <w:rPr>
          <w:rFonts w:ascii="Arial" w:hAnsi="Arial" w:cs="Arial"/>
          <w:sz w:val="22"/>
          <w:szCs w:val="22"/>
          <w:lang w:val="hr-HR"/>
        </w:rPr>
        <w:t>i članku 2. sta</w:t>
      </w:r>
      <w:r w:rsidR="00492094">
        <w:rPr>
          <w:rFonts w:ascii="Arial" w:hAnsi="Arial" w:cs="Arial"/>
          <w:sz w:val="22"/>
          <w:szCs w:val="22"/>
          <w:lang w:val="hr-HR"/>
        </w:rPr>
        <w:t>vak 1. Pravilnika</w:t>
      </w:r>
      <w:r w:rsidRPr="00D060AB">
        <w:rPr>
          <w:rFonts w:ascii="Arial" w:hAnsi="Arial" w:cs="Arial"/>
          <w:sz w:val="22"/>
          <w:szCs w:val="22"/>
          <w:lang w:val="hr-HR"/>
        </w:rPr>
        <w:t>, Naručitelj provodi postupak nabave radova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54D27" w:rsidRPr="00D060AB">
        <w:rPr>
          <w:rFonts w:ascii="Arial" w:hAnsi="Arial" w:cs="Arial"/>
          <w:sz w:val="22"/>
          <w:szCs w:val="22"/>
          <w:lang w:val="hr-HR"/>
        </w:rPr>
        <w:t>2</w:t>
      </w:r>
      <w:r w:rsidR="00646609">
        <w:rPr>
          <w:rFonts w:ascii="Arial" w:hAnsi="Arial" w:cs="Arial"/>
          <w:sz w:val="22"/>
          <w:szCs w:val="22"/>
          <w:lang w:val="hr-HR"/>
        </w:rPr>
        <w:t>-11</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4E38A7">
        <w:rPr>
          <w:rFonts w:ascii="Arial" w:hAnsi="Arial" w:cs="Arial"/>
          <w:sz w:val="22"/>
          <w:szCs w:val="22"/>
          <w:lang w:val="hr-HR"/>
        </w:rPr>
        <w:t>4.100</w:t>
      </w:r>
      <w:r w:rsidRPr="00D060AB">
        <w:rPr>
          <w:rFonts w:ascii="Arial" w:hAnsi="Arial" w:cs="Arial"/>
          <w:sz w:val="22"/>
          <w:szCs w:val="22"/>
          <w:lang w:val="hr-HR"/>
        </w:rPr>
        <w:t>.000,00 kuna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52F62" w:rsidP="007A7C3D">
      <w:pPr>
        <w:pStyle w:val="Bezproreda"/>
        <w:jc w:val="both"/>
      </w:pPr>
      <w:r>
        <w:rPr>
          <w:rFonts w:ascii="Arial" w:hAnsi="Arial" w:cs="Arial"/>
        </w:rPr>
        <w:t xml:space="preserve">Sukladno članku 198. ZJN </w:t>
      </w:r>
      <w:r w:rsidR="007A7C3D" w:rsidRPr="00D060AB">
        <w:rPr>
          <w:rFonts w:ascii="Arial" w:hAnsi="Arial" w:cs="Arial"/>
        </w:rPr>
        <w:t>naručitelj je proveo prethodno savjetovanje sa zainteresiranim gospodarskim subjektima, u trajanj</w:t>
      </w:r>
      <w:r w:rsidR="00455968">
        <w:rPr>
          <w:rFonts w:ascii="Arial" w:hAnsi="Arial" w:cs="Arial"/>
        </w:rPr>
        <w:t>u od 25.11.2022. godine do 02.12.2022. godine</w:t>
      </w:r>
      <w:r w:rsidR="007A7C3D" w:rsidRPr="00D060AB">
        <w:rPr>
          <w:rFonts w:ascii="Arial" w:hAnsi="Arial" w:cs="Arial"/>
        </w:rPr>
        <w:t xml:space="preserve">,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00455968">
        <w:rPr>
          <w:rFonts w:ascii="Arial" w:hAnsi="Arial" w:cs="Arial"/>
        </w:rPr>
        <w:t xml:space="preserve">, </w:t>
      </w:r>
      <w:r w:rsidR="00DC5E18">
        <w:rPr>
          <w:rFonts w:ascii="Arial" w:hAnsi="Arial" w:cs="Arial"/>
        </w:rPr>
        <w:t>0</w:t>
      </w:r>
      <w:r w:rsidR="00455968">
        <w:rPr>
          <w:rFonts w:ascii="Arial" w:hAnsi="Arial" w:cs="Arial"/>
        </w:rPr>
        <w:t xml:space="preserve">5.12.2022. </w:t>
      </w:r>
      <w:r w:rsidRPr="00D060AB">
        <w:rPr>
          <w:rFonts w:ascii="Arial" w:hAnsi="Arial" w:cs="Arial"/>
        </w:rPr>
        <w:t>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Pr="00D060AB" w:rsidRDefault="007A7C3D"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352F62" w:rsidRDefault="007A7C3D" w:rsidP="007A7C3D">
      <w:pPr>
        <w:autoSpaceDE w:val="0"/>
        <w:autoSpaceDN w:val="0"/>
        <w:adjustRightInd w:val="0"/>
        <w:jc w:val="both"/>
        <w:rPr>
          <w:rFonts w:ascii="Arial" w:hAnsi="Arial" w:cs="Arial"/>
          <w:color w:val="FF0000"/>
          <w:sz w:val="22"/>
          <w:szCs w:val="22"/>
          <w:lang w:val="hr-HR"/>
        </w:rPr>
      </w:pPr>
    </w:p>
    <w:p w:rsidR="007A7C3D" w:rsidRPr="003521A3" w:rsidRDefault="007A7C3D" w:rsidP="00D34966">
      <w:pPr>
        <w:pStyle w:val="Odlomakpopisa"/>
        <w:spacing w:line="276" w:lineRule="auto"/>
        <w:ind w:left="0"/>
        <w:jc w:val="both"/>
        <w:rPr>
          <w:rFonts w:ascii="Arial" w:hAnsi="Arial" w:cs="Arial"/>
          <w:sz w:val="22"/>
          <w:szCs w:val="22"/>
          <w:lang w:val="hr-HR"/>
        </w:rPr>
      </w:pPr>
      <w:r w:rsidRPr="003521A3">
        <w:rPr>
          <w:rFonts w:ascii="Arial" w:hAnsi="Arial" w:cs="Arial"/>
          <w:sz w:val="22"/>
          <w:szCs w:val="22"/>
          <w:lang w:val="hr-HR"/>
        </w:rPr>
        <w:t xml:space="preserve">Predmet nabave su radovi </w:t>
      </w:r>
      <w:proofErr w:type="spellStart"/>
      <w:r w:rsidR="003521A3" w:rsidRPr="003521A3">
        <w:rPr>
          <w:rFonts w:ascii="Arial" w:hAnsi="Arial" w:cs="Arial"/>
          <w:sz w:val="22"/>
          <w:szCs w:val="22"/>
        </w:rPr>
        <w:t>sanacije</w:t>
      </w:r>
      <w:proofErr w:type="spellEnd"/>
      <w:r w:rsidR="003521A3" w:rsidRPr="003521A3">
        <w:rPr>
          <w:rFonts w:ascii="Arial" w:hAnsi="Arial" w:cs="Arial"/>
          <w:sz w:val="22"/>
          <w:szCs w:val="22"/>
        </w:rPr>
        <w:t xml:space="preserve"> </w:t>
      </w:r>
      <w:proofErr w:type="spellStart"/>
      <w:r w:rsidR="003521A3" w:rsidRPr="003521A3">
        <w:rPr>
          <w:rFonts w:ascii="Arial" w:hAnsi="Arial" w:cs="Arial"/>
          <w:sz w:val="22"/>
          <w:szCs w:val="22"/>
        </w:rPr>
        <w:t>potresom</w:t>
      </w:r>
      <w:proofErr w:type="spellEnd"/>
      <w:r w:rsidR="003521A3" w:rsidRPr="003521A3">
        <w:rPr>
          <w:rFonts w:ascii="Arial" w:hAnsi="Arial" w:cs="Arial"/>
          <w:sz w:val="22"/>
          <w:szCs w:val="22"/>
        </w:rPr>
        <w:t xml:space="preserve"> </w:t>
      </w:r>
      <w:proofErr w:type="spellStart"/>
      <w:r w:rsidR="003521A3" w:rsidRPr="003521A3">
        <w:rPr>
          <w:rFonts w:ascii="Arial" w:hAnsi="Arial" w:cs="Arial"/>
          <w:sz w:val="22"/>
          <w:szCs w:val="22"/>
        </w:rPr>
        <w:t>oštećene</w:t>
      </w:r>
      <w:proofErr w:type="spellEnd"/>
      <w:r w:rsidR="003521A3" w:rsidRPr="003521A3">
        <w:rPr>
          <w:rFonts w:ascii="Arial" w:hAnsi="Arial" w:cs="Arial"/>
          <w:sz w:val="22"/>
          <w:szCs w:val="22"/>
        </w:rPr>
        <w:t xml:space="preserve"> </w:t>
      </w:r>
      <w:r w:rsidR="00D34966" w:rsidRPr="003521A3">
        <w:rPr>
          <w:rFonts w:ascii="Arial" w:hAnsi="Arial" w:cs="Arial"/>
          <w:sz w:val="22"/>
          <w:szCs w:val="22"/>
          <w:lang w:val="hr-HR"/>
        </w:rPr>
        <w:t>Osnov</w:t>
      </w:r>
      <w:r w:rsidR="00185617" w:rsidRPr="003521A3">
        <w:rPr>
          <w:rFonts w:ascii="Arial" w:hAnsi="Arial" w:cs="Arial"/>
          <w:sz w:val="22"/>
          <w:szCs w:val="22"/>
          <w:lang w:val="hr-HR"/>
        </w:rPr>
        <w:t xml:space="preserve">ne škole Ljudevita </w:t>
      </w:r>
      <w:proofErr w:type="spellStart"/>
      <w:r w:rsidR="00185617" w:rsidRPr="003521A3">
        <w:rPr>
          <w:rFonts w:ascii="Arial" w:hAnsi="Arial" w:cs="Arial"/>
          <w:sz w:val="22"/>
          <w:szCs w:val="22"/>
          <w:lang w:val="hr-HR"/>
        </w:rPr>
        <w:t>Modeca</w:t>
      </w:r>
      <w:proofErr w:type="spellEnd"/>
      <w:r w:rsidR="00185617" w:rsidRPr="003521A3">
        <w:rPr>
          <w:rFonts w:ascii="Arial" w:hAnsi="Arial" w:cs="Arial"/>
          <w:sz w:val="22"/>
          <w:szCs w:val="22"/>
          <w:lang w:val="hr-HR"/>
        </w:rPr>
        <w:t xml:space="preserve"> Križevci</w:t>
      </w:r>
      <w:r w:rsidR="00530201" w:rsidRPr="003521A3">
        <w:rPr>
          <w:rFonts w:ascii="Arial" w:hAnsi="Arial" w:cs="Arial"/>
          <w:sz w:val="22"/>
          <w:szCs w:val="22"/>
          <w:lang w:val="hr-HR"/>
        </w:rPr>
        <w:t xml:space="preserve">, </w:t>
      </w:r>
      <w:r w:rsidRPr="003521A3">
        <w:rPr>
          <w:rFonts w:ascii="Arial" w:hAnsi="Arial" w:cs="Arial"/>
          <w:sz w:val="22"/>
          <w:szCs w:val="22"/>
          <w:lang w:val="hr-HR"/>
        </w:rPr>
        <w:t>sukladno Troškovni</w:t>
      </w:r>
      <w:r w:rsidR="00913DFE" w:rsidRPr="003521A3">
        <w:rPr>
          <w:rFonts w:ascii="Arial" w:hAnsi="Arial" w:cs="Arial"/>
          <w:sz w:val="22"/>
          <w:szCs w:val="22"/>
          <w:lang w:val="hr-HR"/>
        </w:rPr>
        <w:t>ku</w:t>
      </w:r>
      <w:r w:rsidRPr="003521A3">
        <w:rPr>
          <w:rFonts w:ascii="Arial" w:hAnsi="Arial" w:cs="Arial"/>
          <w:sz w:val="22"/>
          <w:szCs w:val="22"/>
          <w:lang w:val="hr-HR"/>
        </w:rPr>
        <w:t xml:space="preserve"> (Prilog I </w:t>
      </w:r>
      <w:r w:rsidR="00913DFE" w:rsidRPr="003521A3">
        <w:rPr>
          <w:rFonts w:ascii="Arial" w:hAnsi="Arial" w:cs="Arial"/>
          <w:sz w:val="22"/>
          <w:szCs w:val="22"/>
          <w:lang w:val="hr-HR"/>
        </w:rPr>
        <w:t>).</w:t>
      </w:r>
    </w:p>
    <w:p w:rsidR="007012B5" w:rsidRPr="003521A3" w:rsidRDefault="007012B5" w:rsidP="00D34966">
      <w:pPr>
        <w:pStyle w:val="Odlomakpopisa"/>
        <w:spacing w:line="276" w:lineRule="auto"/>
        <w:ind w:left="0"/>
        <w:jc w:val="both"/>
        <w:rPr>
          <w:rFonts w:ascii="Arial" w:hAnsi="Arial" w:cs="Arial"/>
          <w:sz w:val="22"/>
          <w:szCs w:val="22"/>
          <w:lang w:val="hr-HR"/>
        </w:rPr>
      </w:pPr>
    </w:p>
    <w:p w:rsidR="008F1660" w:rsidRPr="003521A3" w:rsidRDefault="008F1660" w:rsidP="00D34966">
      <w:pPr>
        <w:pStyle w:val="Odlomakpopisa"/>
        <w:spacing w:line="276" w:lineRule="auto"/>
        <w:ind w:left="0"/>
        <w:jc w:val="both"/>
        <w:rPr>
          <w:rFonts w:ascii="Arial" w:hAnsi="Arial" w:cs="Arial"/>
          <w:sz w:val="22"/>
          <w:szCs w:val="22"/>
          <w:lang w:val="hr-HR"/>
        </w:rPr>
      </w:pPr>
      <w:r w:rsidRPr="003521A3">
        <w:rPr>
          <w:rFonts w:ascii="Arial" w:hAnsi="Arial" w:cs="Arial"/>
          <w:sz w:val="22"/>
          <w:szCs w:val="22"/>
          <w:lang w:val="hr-HR"/>
        </w:rPr>
        <w:t xml:space="preserve">Predmetni radovi </w:t>
      </w:r>
      <w:r w:rsidR="00F85DED" w:rsidRPr="003521A3">
        <w:rPr>
          <w:rFonts w:ascii="Arial" w:hAnsi="Arial" w:cs="Arial"/>
          <w:sz w:val="22"/>
          <w:szCs w:val="22"/>
          <w:lang w:val="hr-HR"/>
        </w:rPr>
        <w:t xml:space="preserve">izvode se u okviru Poziva </w:t>
      </w:r>
      <w:r w:rsidRPr="003521A3">
        <w:rPr>
          <w:rFonts w:ascii="Arial" w:hAnsi="Arial" w:cs="Arial"/>
          <w:sz w:val="22"/>
          <w:szCs w:val="22"/>
          <w:lang w:val="hr-HR"/>
        </w:rPr>
        <w:t xml:space="preserve">„Obnova infrastrukture u području obrazovanja </w:t>
      </w:r>
      <w:r w:rsidR="007012B5" w:rsidRPr="003521A3">
        <w:rPr>
          <w:rFonts w:ascii="Arial" w:hAnsi="Arial" w:cs="Arial"/>
          <w:sz w:val="22"/>
          <w:szCs w:val="22"/>
          <w:lang w:val="hr-HR"/>
        </w:rPr>
        <w:t>o</w:t>
      </w:r>
      <w:r w:rsidRPr="003521A3">
        <w:rPr>
          <w:rFonts w:ascii="Arial" w:hAnsi="Arial" w:cs="Arial"/>
          <w:sz w:val="22"/>
          <w:szCs w:val="22"/>
          <w:lang w:val="hr-HR"/>
        </w:rPr>
        <w:t>štećene potresom</w:t>
      </w:r>
      <w:r w:rsidR="007012B5" w:rsidRPr="003521A3">
        <w:rPr>
          <w:rFonts w:ascii="Arial" w:hAnsi="Arial" w:cs="Arial"/>
          <w:sz w:val="22"/>
          <w:szCs w:val="22"/>
          <w:lang w:val="hr-HR"/>
        </w:rPr>
        <w:t>“</w:t>
      </w:r>
      <w:r w:rsidRPr="003521A3">
        <w:rPr>
          <w:rFonts w:ascii="Arial" w:hAnsi="Arial" w:cs="Arial"/>
          <w:sz w:val="22"/>
          <w:szCs w:val="22"/>
          <w:lang w:val="hr-HR"/>
        </w:rPr>
        <w:t>, FSEU.2022.MZO, a financira</w:t>
      </w:r>
      <w:r w:rsidR="007012B5" w:rsidRPr="003521A3">
        <w:rPr>
          <w:rFonts w:ascii="Arial" w:hAnsi="Arial" w:cs="Arial"/>
          <w:sz w:val="22"/>
          <w:szCs w:val="22"/>
          <w:lang w:val="hr-HR"/>
        </w:rPr>
        <w:t>ju</w:t>
      </w:r>
      <w:r w:rsidRPr="003521A3">
        <w:rPr>
          <w:rFonts w:ascii="Arial" w:hAnsi="Arial" w:cs="Arial"/>
          <w:sz w:val="22"/>
          <w:szCs w:val="22"/>
          <w:lang w:val="hr-HR"/>
        </w:rPr>
        <w:t xml:space="preserve"> se </w:t>
      </w:r>
      <w:r w:rsidR="00F85DED" w:rsidRPr="003521A3">
        <w:rPr>
          <w:rFonts w:ascii="Arial" w:hAnsi="Arial" w:cs="Arial"/>
          <w:sz w:val="22"/>
          <w:szCs w:val="22"/>
          <w:lang w:val="hr-HR"/>
        </w:rPr>
        <w:t xml:space="preserve">sredstvima </w:t>
      </w:r>
      <w:r w:rsidRPr="003521A3">
        <w:rPr>
          <w:rFonts w:ascii="Arial" w:hAnsi="Arial" w:cs="Arial"/>
          <w:sz w:val="22"/>
          <w:szCs w:val="22"/>
          <w:lang w:val="hr-HR"/>
        </w:rPr>
        <w:t>iz Fonda solidarnosti Europske unije.</w:t>
      </w:r>
    </w:p>
    <w:p w:rsidR="007A7C3D" w:rsidRPr="003521A3" w:rsidRDefault="007A7C3D" w:rsidP="007A7C3D">
      <w:pPr>
        <w:autoSpaceDE w:val="0"/>
        <w:autoSpaceDN w:val="0"/>
        <w:adjustRightInd w:val="0"/>
        <w:jc w:val="both"/>
        <w:rPr>
          <w:rFonts w:ascii="Arial" w:hAnsi="Arial" w:cs="Arial"/>
          <w:sz w:val="22"/>
          <w:szCs w:val="22"/>
          <w:lang w:val="hr-HR"/>
        </w:rPr>
      </w:pPr>
    </w:p>
    <w:p w:rsidR="007A7C3D" w:rsidRPr="003521A3" w:rsidRDefault="007A7C3D" w:rsidP="007A7C3D">
      <w:pPr>
        <w:autoSpaceDE w:val="0"/>
        <w:autoSpaceDN w:val="0"/>
        <w:adjustRightInd w:val="0"/>
        <w:jc w:val="both"/>
        <w:rPr>
          <w:rFonts w:ascii="Arial" w:hAnsi="Arial" w:cs="Arial"/>
          <w:sz w:val="22"/>
          <w:szCs w:val="22"/>
          <w:lang w:val="hr-HR"/>
        </w:rPr>
      </w:pPr>
      <w:r w:rsidRPr="003521A3">
        <w:rPr>
          <w:rFonts w:ascii="Arial" w:hAnsi="Arial" w:cs="Arial"/>
          <w:sz w:val="22"/>
          <w:szCs w:val="22"/>
          <w:lang w:val="hr-HR"/>
        </w:rPr>
        <w:t>Detaljan op</w:t>
      </w:r>
      <w:r w:rsidR="00744E22" w:rsidRPr="003521A3">
        <w:rPr>
          <w:rFonts w:ascii="Arial" w:hAnsi="Arial" w:cs="Arial"/>
          <w:sz w:val="22"/>
          <w:szCs w:val="22"/>
          <w:lang w:val="hr-HR"/>
        </w:rPr>
        <w:t>is predmeta nabave nalazi se u T</w:t>
      </w:r>
      <w:r w:rsidRPr="003521A3">
        <w:rPr>
          <w:rFonts w:ascii="Arial" w:hAnsi="Arial" w:cs="Arial"/>
          <w:sz w:val="22"/>
          <w:szCs w:val="22"/>
          <w:lang w:val="hr-HR"/>
        </w:rPr>
        <w:t>roškovniku (Prilog I</w:t>
      </w:r>
      <w:r w:rsidR="00913DFE" w:rsidRPr="003521A3">
        <w:rPr>
          <w:rFonts w:ascii="Arial" w:hAnsi="Arial" w:cs="Arial"/>
          <w:sz w:val="22"/>
          <w:szCs w:val="22"/>
          <w:lang w:val="hr-HR"/>
        </w:rPr>
        <w:t>).</w:t>
      </w:r>
    </w:p>
    <w:p w:rsidR="007A7C3D" w:rsidRPr="003521A3" w:rsidRDefault="007A7C3D" w:rsidP="007A7C3D">
      <w:pPr>
        <w:autoSpaceDE w:val="0"/>
        <w:autoSpaceDN w:val="0"/>
        <w:adjustRightInd w:val="0"/>
        <w:jc w:val="both"/>
        <w:rPr>
          <w:rFonts w:ascii="Arial" w:hAnsi="Arial" w:cs="Arial"/>
          <w:sz w:val="22"/>
          <w:szCs w:val="22"/>
          <w:lang w:val="hr-HR"/>
        </w:rPr>
      </w:pPr>
    </w:p>
    <w:p w:rsidR="009826BE" w:rsidRDefault="007A7C3D" w:rsidP="009826BE">
      <w:pPr>
        <w:autoSpaceDE w:val="0"/>
        <w:autoSpaceDN w:val="0"/>
        <w:adjustRightInd w:val="0"/>
        <w:jc w:val="both"/>
        <w:rPr>
          <w:rFonts w:ascii="Arial" w:hAnsi="Arial" w:cs="Arial"/>
          <w:sz w:val="22"/>
          <w:szCs w:val="22"/>
          <w:lang w:val="hr-HR"/>
        </w:rPr>
      </w:pPr>
      <w:r w:rsidRPr="003521A3">
        <w:rPr>
          <w:rFonts w:ascii="Arial" w:hAnsi="Arial" w:cs="Arial"/>
          <w:sz w:val="22"/>
          <w:szCs w:val="22"/>
          <w:lang w:val="hr-HR"/>
        </w:rPr>
        <w:t xml:space="preserve">Oznaka iz Jedinstvenog rječnika javne nabave: </w:t>
      </w:r>
      <w:r w:rsidR="006E056B" w:rsidRPr="003521A3">
        <w:rPr>
          <w:rFonts w:ascii="Arial" w:hAnsi="Arial" w:cs="Arial"/>
          <w:sz w:val="22"/>
          <w:szCs w:val="22"/>
          <w:lang w:val="hr-HR"/>
        </w:rPr>
        <w:t>C</w:t>
      </w:r>
      <w:r w:rsidR="003521A3">
        <w:rPr>
          <w:rFonts w:ascii="Arial" w:hAnsi="Arial" w:cs="Arial"/>
          <w:sz w:val="22"/>
          <w:szCs w:val="22"/>
          <w:lang w:val="hr-HR"/>
        </w:rPr>
        <w:t>PV</w:t>
      </w:r>
      <w:r w:rsidR="009826BE">
        <w:rPr>
          <w:rFonts w:ascii="Arial" w:hAnsi="Arial" w:cs="Arial"/>
          <w:sz w:val="22"/>
          <w:szCs w:val="22"/>
          <w:lang w:val="hr-HR"/>
        </w:rPr>
        <w:t>45454100-5 Radovi na obnovi.</w:t>
      </w:r>
    </w:p>
    <w:p w:rsidR="009826BE" w:rsidRPr="00EF6652" w:rsidRDefault="009826BE" w:rsidP="009826BE">
      <w:pPr>
        <w:autoSpaceDE w:val="0"/>
        <w:autoSpaceDN w:val="0"/>
        <w:adjustRightInd w:val="0"/>
        <w:jc w:val="both"/>
        <w:rPr>
          <w:rFonts w:ascii="Arial" w:hAnsi="Arial" w:cs="Arial"/>
          <w:sz w:val="22"/>
          <w:szCs w:val="22"/>
          <w:lang w:val="hr-HR"/>
        </w:rPr>
      </w:pPr>
    </w:p>
    <w:p w:rsidR="007C24D8" w:rsidRPr="003521A3"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Pr="00D060AB" w:rsidRDefault="007C24D8" w:rsidP="007A7C3D">
      <w:pPr>
        <w:jc w:val="both"/>
        <w:rPr>
          <w:rFonts w:ascii="Arial" w:hAnsi="Arial" w:cs="Arial"/>
          <w:bCs/>
          <w:sz w:val="22"/>
          <w:szCs w:val="22"/>
          <w:lang w:val="hr-HR"/>
        </w:rPr>
      </w:pPr>
    </w:p>
    <w:p w:rsidR="007A7C3D" w:rsidRPr="00D060AB" w:rsidRDefault="007A7C3D"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lastRenderedPageBreak/>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u stupac ''Jedinična cijena stavke''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 </w:t>
      </w:r>
      <w:r w:rsidRPr="00D060AB">
        <w:rPr>
          <w:rFonts w:ascii="Arial" w:hAnsi="Arial" w:cs="Arial"/>
          <w:sz w:val="22"/>
          <w:szCs w:val="22"/>
        </w:rPr>
        <w:lastRenderedPageBreak/>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7A7C3D">
      <w:pPr>
        <w:autoSpaceDE w:val="0"/>
        <w:autoSpaceDN w:val="0"/>
        <w:adjustRightInd w:val="0"/>
        <w:jc w:val="both"/>
        <w:rPr>
          <w:rFonts w:ascii="Arial" w:hAnsi="Arial" w:cs="Arial"/>
          <w:sz w:val="22"/>
          <w:szCs w:val="22"/>
        </w:rPr>
      </w:pPr>
      <w:r>
        <w:rPr>
          <w:rFonts w:ascii="Arial" w:hAnsi="Arial" w:cs="Arial"/>
          <w:sz w:val="22"/>
          <w:szCs w:val="22"/>
          <w:lang w:val="hr-HR"/>
        </w:rPr>
        <w:t>Mjesto izvršenja ugovora</w:t>
      </w:r>
      <w:r w:rsidR="00185617">
        <w:rPr>
          <w:rFonts w:ascii="Arial" w:hAnsi="Arial" w:cs="Arial"/>
          <w:sz w:val="22"/>
          <w:szCs w:val="22"/>
          <w:lang w:val="hr-HR"/>
        </w:rPr>
        <w:t xml:space="preserve"> je Osnovna škola Ljudevita </w:t>
      </w:r>
      <w:proofErr w:type="spellStart"/>
      <w:r w:rsidR="00185617">
        <w:rPr>
          <w:rFonts w:ascii="Arial" w:hAnsi="Arial" w:cs="Arial"/>
          <w:sz w:val="22"/>
          <w:szCs w:val="22"/>
          <w:lang w:val="hr-HR"/>
        </w:rPr>
        <w:t>Modeca</w:t>
      </w:r>
      <w:proofErr w:type="spellEnd"/>
      <w:r>
        <w:rPr>
          <w:rFonts w:ascii="Arial" w:hAnsi="Arial" w:cs="Arial"/>
          <w:sz w:val="22"/>
          <w:szCs w:val="22"/>
          <w:lang w:val="hr-HR"/>
        </w:rPr>
        <w:t xml:space="preserve"> Križevci </w:t>
      </w:r>
      <w:r>
        <w:rPr>
          <w:rFonts w:ascii="Arial" w:hAnsi="Arial" w:cs="Arial"/>
          <w:sz w:val="22"/>
          <w:szCs w:val="22"/>
        </w:rPr>
        <w:t xml:space="preserve">u </w:t>
      </w:r>
      <w:proofErr w:type="spellStart"/>
      <w:r>
        <w:rPr>
          <w:rFonts w:ascii="Arial" w:hAnsi="Arial" w:cs="Arial"/>
          <w:sz w:val="22"/>
          <w:szCs w:val="22"/>
        </w:rPr>
        <w:t>Križevcima</w:t>
      </w:r>
      <w:proofErr w:type="spellEnd"/>
      <w:r>
        <w:rPr>
          <w:rFonts w:ascii="Arial" w:hAnsi="Arial" w:cs="Arial"/>
          <w:sz w:val="22"/>
          <w:szCs w:val="22"/>
        </w:rPr>
        <w:t xml:space="preserve">,                       </w:t>
      </w:r>
      <w:proofErr w:type="spellStart"/>
      <w:r w:rsidR="00185617">
        <w:rPr>
          <w:rFonts w:ascii="Arial" w:hAnsi="Arial" w:cs="Arial"/>
          <w:sz w:val="22"/>
          <w:szCs w:val="22"/>
        </w:rPr>
        <w:t>kčbr</w:t>
      </w:r>
      <w:proofErr w:type="spellEnd"/>
      <w:r w:rsidR="00185617">
        <w:rPr>
          <w:rFonts w:ascii="Arial" w:hAnsi="Arial" w:cs="Arial"/>
          <w:sz w:val="22"/>
          <w:szCs w:val="22"/>
        </w:rPr>
        <w:t xml:space="preserve">. </w:t>
      </w:r>
      <w:proofErr w:type="gramStart"/>
      <w:r w:rsidR="00185617">
        <w:rPr>
          <w:rFonts w:ascii="Arial" w:hAnsi="Arial" w:cs="Arial"/>
          <w:sz w:val="22"/>
          <w:szCs w:val="22"/>
        </w:rPr>
        <w:t>642/1</w:t>
      </w:r>
      <w:r>
        <w:rPr>
          <w:rFonts w:ascii="Arial" w:hAnsi="Arial" w:cs="Arial"/>
          <w:sz w:val="22"/>
          <w:szCs w:val="22"/>
        </w:rPr>
        <w:t xml:space="preserve"> </w:t>
      </w:r>
      <w:proofErr w:type="spellStart"/>
      <w:r>
        <w:rPr>
          <w:rFonts w:ascii="Arial" w:hAnsi="Arial" w:cs="Arial"/>
          <w:sz w:val="22"/>
          <w:szCs w:val="22"/>
        </w:rPr>
        <w:t>k.o</w:t>
      </w:r>
      <w:proofErr w:type="spellEnd"/>
      <w:r>
        <w:rPr>
          <w:rFonts w:ascii="Arial" w:hAnsi="Arial" w:cs="Arial"/>
          <w:sz w:val="22"/>
          <w:szCs w:val="22"/>
        </w:rPr>
        <w:t>. Križevci.</w:t>
      </w:r>
      <w:proofErr w:type="gramEnd"/>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970D9"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Krajnji rok završetka </w:t>
      </w:r>
      <w:r w:rsidRPr="00D970D9">
        <w:rPr>
          <w:rFonts w:ascii="Arial" w:hAnsi="Arial" w:cs="Arial"/>
          <w:sz w:val="22"/>
          <w:szCs w:val="22"/>
          <w:lang w:val="hr-HR"/>
        </w:rPr>
        <w:t xml:space="preserve">radova je </w:t>
      </w:r>
      <w:r w:rsidR="00185617">
        <w:rPr>
          <w:rFonts w:ascii="Arial" w:hAnsi="Arial" w:cs="Arial"/>
          <w:sz w:val="22"/>
          <w:szCs w:val="22"/>
          <w:lang w:val="hr-HR"/>
        </w:rPr>
        <w:t>1</w:t>
      </w:r>
      <w:r w:rsidR="00DC6072">
        <w:rPr>
          <w:rFonts w:ascii="Arial" w:hAnsi="Arial" w:cs="Arial"/>
          <w:sz w:val="22"/>
          <w:szCs w:val="22"/>
          <w:lang w:val="hr-HR"/>
        </w:rPr>
        <w:t>0.05</w:t>
      </w:r>
      <w:r w:rsidR="006E056B" w:rsidRPr="00D970D9">
        <w:rPr>
          <w:rFonts w:ascii="Arial" w:hAnsi="Arial" w:cs="Arial"/>
          <w:sz w:val="22"/>
          <w:szCs w:val="22"/>
          <w:lang w:val="hr-HR"/>
        </w:rPr>
        <w:t>.2023</w:t>
      </w:r>
      <w:r w:rsidRPr="00D970D9">
        <w:rPr>
          <w:rFonts w:ascii="Arial" w:hAnsi="Arial" w:cs="Arial"/>
          <w:sz w:val="22"/>
          <w:szCs w:val="22"/>
          <w:lang w:val="hr-HR"/>
        </w:rPr>
        <w:t>.g.</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w:t>
      </w:r>
      <w:r w:rsidR="002C65A9">
        <w:rPr>
          <w:rFonts w:ascii="Arial" w:hAnsi="Arial" w:cs="Arial"/>
          <w:sz w:val="22"/>
          <w:szCs w:val="22"/>
          <w:lang w:val="hr-HR"/>
        </w:rPr>
        <w:t>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C65A9">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7A7C3D"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C65A9" w:rsidRDefault="002C65A9" w:rsidP="002C65A9">
      <w:pPr>
        <w:ind w:left="720"/>
        <w:jc w:val="both"/>
        <w:rPr>
          <w:rFonts w:ascii="Arial" w:hAnsi="Arial" w:cs="Arial"/>
          <w:sz w:val="22"/>
          <w:szCs w:val="22"/>
          <w:lang w:val="hr-HR"/>
        </w:rPr>
      </w:pPr>
    </w:p>
    <w:p w:rsidR="002C65A9" w:rsidRDefault="002C65A9" w:rsidP="002C65A9">
      <w:pPr>
        <w:ind w:left="720"/>
        <w:jc w:val="both"/>
        <w:rPr>
          <w:rFonts w:ascii="Arial" w:hAnsi="Arial" w:cs="Arial"/>
          <w:sz w:val="22"/>
          <w:szCs w:val="22"/>
          <w:lang w:val="hr-HR"/>
        </w:rPr>
      </w:pPr>
    </w:p>
    <w:p w:rsidR="002C65A9" w:rsidRPr="00D060AB" w:rsidRDefault="002C65A9" w:rsidP="002C65A9">
      <w:pPr>
        <w:ind w:left="720"/>
        <w:jc w:val="both"/>
        <w:rPr>
          <w:rFonts w:ascii="Arial" w:hAnsi="Arial" w:cs="Arial"/>
          <w:sz w:val="22"/>
          <w:szCs w:val="22"/>
          <w:lang w:val="hr-HR"/>
        </w:rPr>
      </w:pP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lastRenderedPageBreak/>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C65A9">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2C65A9">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2C65A9">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w:t>
      </w:r>
      <w:r w:rsidRPr="001D1A83">
        <w:rPr>
          <w:rFonts w:ascii="Arial" w:hAnsi="Arial" w:cs="Arial"/>
          <w:sz w:val="22"/>
          <w:szCs w:val="22"/>
          <w:lang w:val="hr-HR"/>
        </w:rPr>
        <w:lastRenderedPageBreak/>
        <w:t xml:space="preserve">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2C65A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Temelje</w:t>
      </w:r>
      <w:r w:rsidR="002C65A9">
        <w:rPr>
          <w:rFonts w:ascii="Arial" w:hAnsi="Arial" w:cs="Arial"/>
          <w:b/>
          <w:color w:val="31849B"/>
          <w:sz w:val="22"/>
          <w:szCs w:val="22"/>
          <w:lang w:val="hr-HR"/>
        </w:rPr>
        <w:t>m članka 252. stavka 1. ZJN</w:t>
      </w:r>
      <w:r w:rsidRPr="00D060AB">
        <w:rPr>
          <w:rFonts w:ascii="Arial" w:hAnsi="Arial" w:cs="Arial"/>
          <w:b/>
          <w:color w:val="31849B"/>
          <w:sz w:val="22"/>
          <w:szCs w:val="22"/>
          <w:lang w:val="hr-HR"/>
        </w:rPr>
        <w:t xml:space="preserve"> 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C65A9">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2C65A9">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2C65A9">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Default="002C65A9" w:rsidP="007A7C3D">
      <w:pPr>
        <w:pStyle w:val="Default"/>
        <w:jc w:val="both"/>
        <w:rPr>
          <w:sz w:val="22"/>
          <w:szCs w:val="22"/>
        </w:rPr>
      </w:pPr>
      <w:r>
        <w:rPr>
          <w:color w:val="auto"/>
          <w:sz w:val="22"/>
          <w:szCs w:val="22"/>
        </w:rPr>
        <w:t>Sukladno članku 255. ZJN</w:t>
      </w:r>
      <w:r w:rsidR="007A7C3D" w:rsidRPr="00D060AB">
        <w:rPr>
          <w:color w:val="auto"/>
          <w:sz w:val="22"/>
          <w:szCs w:val="22"/>
        </w:rPr>
        <w:t>, gospodarski subjekt kod kojeg su ostvarene osnove za isključenje iz članka 251. st</w:t>
      </w:r>
      <w:r w:rsidR="00F91FE2">
        <w:rPr>
          <w:color w:val="auto"/>
          <w:sz w:val="22"/>
          <w:szCs w:val="22"/>
        </w:rPr>
        <w:t xml:space="preserve">avka 1. </w:t>
      </w:r>
      <w:r>
        <w:rPr>
          <w:color w:val="auto"/>
          <w:sz w:val="22"/>
          <w:szCs w:val="22"/>
        </w:rPr>
        <w:t xml:space="preserve">ZJN </w:t>
      </w:r>
      <w:r w:rsidR="007A7C3D" w:rsidRPr="00D060AB">
        <w:rPr>
          <w:color w:val="auto"/>
          <w:sz w:val="22"/>
          <w:szCs w:val="22"/>
        </w:rPr>
        <w:t>može javnom naručitelju dostaviti dokaze o mjerama koje je poduzeo kako bi dokazao svoju pouzdanost</w:t>
      </w:r>
      <w:r w:rsidR="007A7C3D" w:rsidRPr="00D060AB">
        <w:rPr>
          <w:sz w:val="22"/>
          <w:szCs w:val="22"/>
        </w:rPr>
        <w:t xml:space="preserve"> bez obzira na postojanje relevantne osnove za isključenje.</w:t>
      </w:r>
    </w:p>
    <w:p w:rsidR="002C65A9" w:rsidRDefault="002C65A9" w:rsidP="007A7C3D">
      <w:pPr>
        <w:pStyle w:val="Default"/>
        <w:jc w:val="both"/>
        <w:rPr>
          <w:sz w:val="22"/>
          <w:szCs w:val="22"/>
        </w:rPr>
      </w:pPr>
    </w:p>
    <w:p w:rsidR="002C65A9" w:rsidRPr="00D060AB" w:rsidRDefault="002C65A9" w:rsidP="007A7C3D">
      <w:pPr>
        <w:pStyle w:val="Default"/>
        <w:jc w:val="both"/>
        <w:rPr>
          <w:sz w:val="22"/>
          <w:szCs w:val="22"/>
        </w:rPr>
      </w:pP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2C65A9">
        <w:rPr>
          <w:sz w:val="22"/>
          <w:szCs w:val="22"/>
        </w:rPr>
        <w:t>ranje</w:t>
      </w:r>
      <w:proofErr w:type="spellEnd"/>
      <w:r w:rsidR="002C65A9">
        <w:rPr>
          <w:sz w:val="22"/>
          <w:szCs w:val="22"/>
        </w:rPr>
        <w:t>''  (</w:t>
      </w:r>
      <w:proofErr w:type="spellStart"/>
      <w:r w:rsidR="002C65A9">
        <w:rPr>
          <w:sz w:val="22"/>
          <w:szCs w:val="22"/>
        </w:rPr>
        <w:t>čl</w:t>
      </w:r>
      <w:proofErr w:type="spellEnd"/>
      <w:r w:rsidR="002C65A9">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w:t>
      </w:r>
      <w:r w:rsidR="002C65A9">
        <w:rPr>
          <w:color w:val="auto"/>
          <w:sz w:val="22"/>
          <w:szCs w:val="22"/>
        </w:rPr>
        <w:t xml:space="preserve"> članka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2C65A9">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2C65A9">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2C65A9">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2C65A9">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00F356C0">
        <w:rPr>
          <w:rFonts w:ascii="Arial" w:hAnsi="Arial" w:cs="Arial"/>
          <w:b/>
          <w:sz w:val="22"/>
          <w:szCs w:val="22"/>
          <w:lang w:val="hr-HR"/>
        </w:rPr>
        <w:t>najviše tri (3</w:t>
      </w:r>
      <w:r w:rsidRPr="00D060AB">
        <w:rPr>
          <w:rFonts w:ascii="Arial" w:hAnsi="Arial" w:cs="Arial"/>
          <w:b/>
          <w:sz w:val="22"/>
          <w:szCs w:val="22"/>
          <w:lang w:val="hr-HR"/>
        </w:rPr>
        <w:t>)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41440C" w:rsidP="007A7C3D">
      <w:pPr>
        <w:autoSpaceDE w:val="0"/>
        <w:autoSpaceDN w:val="0"/>
        <w:adjustRightInd w:val="0"/>
        <w:ind w:right="-2"/>
        <w:jc w:val="both"/>
        <w:rPr>
          <w:rFonts w:ascii="Arial" w:hAnsi="Arial" w:cs="Arial"/>
          <w:b/>
          <w:sz w:val="22"/>
          <w:szCs w:val="22"/>
          <w:u w:val="single"/>
          <w:lang w:val="hr-HR"/>
        </w:rPr>
      </w:pPr>
      <w:r w:rsidRPr="0041440C">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2C65A9">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2C65A9">
      <w:p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lastRenderedPageBreak/>
        <w:t>Popis sadržava ili mu se prilaže potvrda druge ugovorne strane o urednom izvođenju</w:t>
      </w:r>
      <w:r w:rsidRPr="00D060AB">
        <w:rPr>
          <w:rFonts w:ascii="Arial" w:hAnsi="Arial" w:cs="Arial"/>
          <w:sz w:val="22"/>
          <w:szCs w:val="22"/>
          <w:lang w:val="hr-HR"/>
        </w:rPr>
        <w:t xml:space="preserve"> i ishodu najvažnijih radova za najmanje jedan (1) ugovor o radovima koji su isti ili slični predmetu nabave, čiji iznos mora biti najmanje u visini procijenjene vrijednosti predmet</w:t>
      </w:r>
      <w:r w:rsidR="00F57174">
        <w:rPr>
          <w:rFonts w:ascii="Arial" w:hAnsi="Arial" w:cs="Arial"/>
          <w:sz w:val="22"/>
          <w:szCs w:val="22"/>
          <w:lang w:val="hr-HR"/>
        </w:rPr>
        <w:t>a nabave, odnosno najviše tri (3</w:t>
      </w:r>
      <w:r w:rsidRPr="00D060AB">
        <w:rPr>
          <w:rFonts w:ascii="Arial" w:hAnsi="Arial" w:cs="Arial"/>
          <w:sz w:val="22"/>
          <w:szCs w:val="22"/>
          <w:lang w:val="hr-HR"/>
        </w:rPr>
        <w:t xml:space="preserve">)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2C65A9">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07322A"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Default="007C24D8"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Pr="00D060AB" w:rsidRDefault="0007322A"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41440C"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206EFE" w:rsidRDefault="00206EFE" w:rsidP="007A7C3D">
      <w:pPr>
        <w:rPr>
          <w:rFonts w:ascii="Arial" w:hAnsi="Arial" w:cs="Arial"/>
          <w:sz w:val="22"/>
          <w:szCs w:val="22"/>
          <w:lang w:val="hr-HR"/>
        </w:rPr>
      </w:pPr>
    </w:p>
    <w:p w:rsidR="00206EFE" w:rsidRPr="00D060AB" w:rsidRDefault="00206EFE"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7A7C3D" w:rsidRPr="00D060AB" w:rsidRDefault="007A7C3D" w:rsidP="007A7C3D">
      <w:pPr>
        <w:rPr>
          <w:rFonts w:ascii="Arial" w:hAnsi="Arial" w:cs="Arial"/>
          <w:sz w:val="22"/>
          <w:szCs w:val="22"/>
          <w:lang w:val="hr-HR"/>
        </w:rPr>
      </w:pPr>
    </w:p>
    <w:p w:rsidR="007A7C3D" w:rsidRPr="00D060AB"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t xml:space="preserve">PODACI O PONUDI </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C17F19" w:rsidRDefault="00C17F19" w:rsidP="007A7C3D">
      <w:pPr>
        <w:pStyle w:val="Default"/>
        <w:jc w:val="both"/>
        <w:rPr>
          <w:bCs/>
          <w:color w:val="auto"/>
          <w:sz w:val="22"/>
          <w:szCs w:val="22"/>
        </w:rPr>
      </w:pPr>
    </w:p>
    <w:p w:rsidR="007A7C3D" w:rsidRPr="00D060AB" w:rsidRDefault="00C17F19"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C17F19">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206EFE" w:rsidRPr="00D060AB" w:rsidRDefault="00206EFE"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r w:rsidRPr="00D060AB">
        <w:rPr>
          <w:color w:val="auto"/>
          <w:sz w:val="22"/>
          <w:szCs w:val="22"/>
        </w:rPr>
        <w:lastRenderedPageBreak/>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7A7C3D" w:rsidRPr="00D060AB" w:rsidRDefault="007A7C3D" w:rsidP="007A7C3D">
      <w:pPr>
        <w:pStyle w:val="Default"/>
        <w:jc w:val="both"/>
        <w:rPr>
          <w:color w:val="auto"/>
          <w:sz w:val="22"/>
          <w:szCs w:val="22"/>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w:t>
      </w:r>
      <w:r w:rsidR="00206EFE">
        <w:rPr>
          <w:rFonts w:ascii="Arial" w:hAnsi="Arial" w:cs="Arial"/>
          <w:sz w:val="22"/>
          <w:szCs w:val="22"/>
          <w:lang w:val="hr-HR"/>
        </w:rPr>
        <w:t xml:space="preserve">o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w:t>
      </w:r>
      <w:r w:rsidRPr="00D060AB">
        <w:rPr>
          <w:rFonts w:ascii="Arial" w:hAnsi="Arial" w:cs="Arial"/>
          <w:sz w:val="22"/>
          <w:szCs w:val="22"/>
          <w:lang w:val="hr-HR"/>
        </w:rPr>
        <w:lastRenderedPageBreak/>
        <w:t xml:space="preserve">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Cijena ponude treba biti iskazana u kunama (HRK).</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w:t>
      </w:r>
      <w:r w:rsidR="00596B1F">
        <w:rPr>
          <w:rFonts w:ascii="Arial" w:hAnsi="Arial" w:cs="Arial"/>
          <w:sz w:val="22"/>
          <w:szCs w:val="22"/>
          <w:lang w:val="hr-HR"/>
        </w:rPr>
        <w:t xml:space="preserve"> članku 294. stavku 2. ZJN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596B1F" w:rsidRDefault="00596B1F"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596B1F" w:rsidRDefault="00596B1F" w:rsidP="007C24D8">
      <w:pPr>
        <w:autoSpaceDE w:val="0"/>
        <w:autoSpaceDN w:val="0"/>
        <w:adjustRightInd w:val="0"/>
        <w:rPr>
          <w:rFonts w:ascii="Arial" w:hAnsi="Arial" w:cs="Arial"/>
          <w:sz w:val="22"/>
          <w:szCs w:val="22"/>
          <w:lang w:val="hr-HR"/>
        </w:rPr>
      </w:pPr>
    </w:p>
    <w:p w:rsidR="007A7C3D" w:rsidRPr="00D060AB"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u jamstvenom roku. 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306969">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4D0FD4"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42B18" w:rsidRPr="00D060AB" w:rsidRDefault="00642B1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42B18" w:rsidRPr="00D060AB" w:rsidRDefault="00642B18"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642B18">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642B18">
        <w:rPr>
          <w:rFonts w:ascii="Arial" w:hAnsi="Arial" w:cs="Arial"/>
          <w:sz w:val="22"/>
          <w:szCs w:val="22"/>
          <w:lang w:val="hr-HR"/>
        </w:rPr>
        <w:t>na je člancima 59.- 66. ZJN</w:t>
      </w:r>
      <w:r w:rsidRPr="00D060AB">
        <w:rPr>
          <w:rFonts w:ascii="Arial" w:hAnsi="Arial" w:cs="Arial"/>
          <w:sz w:val="22"/>
          <w:szCs w:val="22"/>
          <w:lang w:val="hr-HR"/>
        </w:rPr>
        <w:t>.</w:t>
      </w:r>
    </w:p>
    <w:p w:rsidR="007C24D8" w:rsidRDefault="007C24D8" w:rsidP="007A7C3D">
      <w:pPr>
        <w:jc w:val="both"/>
        <w:rPr>
          <w:rFonts w:ascii="Arial" w:hAnsi="Arial" w:cs="Arial"/>
          <w:sz w:val="22"/>
          <w:szCs w:val="22"/>
          <w:lang w:val="hr-HR"/>
        </w:rPr>
      </w:pPr>
    </w:p>
    <w:p w:rsidR="007A7C3D" w:rsidRPr="00D060AB" w:rsidRDefault="007A7C3D" w:rsidP="007A7C3D">
      <w:pPr>
        <w:tabs>
          <w:tab w:val="left" w:pos="9072"/>
        </w:tabs>
        <w:autoSpaceDE w:val="0"/>
        <w:autoSpaceDN w:val="0"/>
        <w:adjustRightInd w:val="0"/>
        <w:ind w:right="-2"/>
        <w:jc w:val="both"/>
        <w:rPr>
          <w:rFonts w:ascii="Arial" w:hAnsi="Arial" w:cs="Arial"/>
          <w:b/>
          <w:bCs/>
          <w:iCs/>
          <w:sz w:val="22"/>
          <w:szCs w:val="22"/>
          <w:lang w:val="hr-HR"/>
        </w:rPr>
      </w:pP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642B18"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642B18"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w:t>
      </w:r>
      <w:r w:rsidRPr="00D060AB">
        <w:rPr>
          <w:rFonts w:ascii="Arial" w:hAnsi="Arial" w:cs="Arial"/>
          <w:sz w:val="22"/>
          <w:szCs w:val="22"/>
          <w:lang w:val="hr-HR"/>
        </w:rPr>
        <w:lastRenderedPageBreak/>
        <w:t xml:space="preserve">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642B18"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642B18" w:rsidRDefault="00642B18" w:rsidP="007A7C3D">
      <w:pPr>
        <w:pStyle w:val="Bezproreda"/>
        <w:jc w:val="both"/>
        <w:rPr>
          <w:rFonts w:ascii="Arial" w:hAnsi="Arial" w:cs="Arial"/>
          <w:lang w:eastAsia="hr-HR"/>
        </w:rPr>
      </w:pPr>
    </w:p>
    <w:p w:rsidR="007A7C3D"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C24D8" w:rsidRPr="00D060AB" w:rsidRDefault="007C24D8" w:rsidP="007A7C3D">
      <w:pPr>
        <w:pStyle w:val="Bezproreda"/>
        <w:jc w:val="both"/>
        <w:rPr>
          <w:rFonts w:ascii="Arial" w:hAnsi="Arial" w:cs="Arial"/>
          <w:lang w:eastAsia="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w:t>
      </w:r>
      <w:r w:rsidR="00642B18">
        <w:rPr>
          <w:rFonts w:ascii="Arial" w:hAnsi="Arial" w:cs="Arial"/>
          <w:sz w:val="22"/>
          <w:szCs w:val="22"/>
          <w:lang w:val="hr-HR"/>
        </w:rPr>
        <w:t>223., 224., 225.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D060AB" w:rsidRDefault="007A7C3D" w:rsidP="007A7C3D">
      <w:pPr>
        <w:pStyle w:val="Odlomakpopisa"/>
        <w:numPr>
          <w:ilvl w:val="2"/>
          <w:numId w:val="28"/>
        </w:numPr>
        <w:tabs>
          <w:tab w:val="left" w:pos="450"/>
        </w:tabs>
        <w:jc w:val="both"/>
        <w:rPr>
          <w:rFonts w:ascii="Arial" w:hAnsi="Arial" w:cs="Arial"/>
          <w:b/>
          <w:bCs/>
          <w:color w:val="215868"/>
          <w:sz w:val="22"/>
          <w:szCs w:val="22"/>
          <w:lang w:val="hr-HR"/>
        </w:rPr>
      </w:pPr>
      <w:r w:rsidRPr="00D060AB">
        <w:rPr>
          <w:rFonts w:ascii="Arial" w:hAnsi="Arial" w:cs="Arial"/>
          <w:b/>
          <w:bCs/>
          <w:color w:val="215868"/>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2B6E9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CC6472" w:rsidRDefault="00174B2E" w:rsidP="007A7C3D">
      <w:pPr>
        <w:tabs>
          <w:tab w:val="left" w:pos="450"/>
        </w:tabs>
        <w:ind w:right="-6"/>
        <w:jc w:val="center"/>
        <w:rPr>
          <w:rFonts w:ascii="Arial" w:hAnsi="Arial" w:cs="Arial"/>
          <w:sz w:val="22"/>
          <w:szCs w:val="22"/>
          <w:lang w:val="hr-HR"/>
        </w:rPr>
      </w:pPr>
      <w:r w:rsidRPr="00CC6472">
        <w:rPr>
          <w:rFonts w:ascii="Arial" w:hAnsi="Arial" w:cs="Arial"/>
          <w:b/>
          <w:sz w:val="22"/>
          <w:szCs w:val="22"/>
        </w:rPr>
        <w:t>120</w:t>
      </w:r>
      <w:r w:rsidR="00FE04D7" w:rsidRPr="00CC6472">
        <w:rPr>
          <w:rFonts w:ascii="Arial" w:hAnsi="Arial" w:cs="Arial"/>
          <w:b/>
          <w:sz w:val="22"/>
          <w:szCs w:val="22"/>
        </w:rPr>
        <w:t>.000,00</w:t>
      </w:r>
      <w:r w:rsidR="007A7C3D" w:rsidRPr="00CC6472">
        <w:rPr>
          <w:rFonts w:ascii="Arial" w:hAnsi="Arial" w:cs="Arial"/>
          <w:b/>
          <w:sz w:val="22"/>
          <w:szCs w:val="22"/>
        </w:rPr>
        <w:t xml:space="preserve"> </w:t>
      </w:r>
      <w:proofErr w:type="gramStart"/>
      <w:r w:rsidR="007A7C3D" w:rsidRPr="00CC6472">
        <w:rPr>
          <w:rFonts w:ascii="Arial" w:hAnsi="Arial" w:cs="Arial"/>
          <w:b/>
          <w:sz w:val="22"/>
          <w:szCs w:val="22"/>
        </w:rPr>
        <w:t>kn</w:t>
      </w:r>
      <w:proofErr w:type="gramEnd"/>
      <w:r w:rsidR="007A7C3D" w:rsidRPr="00CC6472">
        <w:rPr>
          <w:rFonts w:ascii="Arial" w:hAnsi="Arial" w:cs="Arial"/>
          <w:b/>
          <w:sz w:val="22"/>
          <w:szCs w:val="22"/>
        </w:rPr>
        <w:t>.</w:t>
      </w:r>
    </w:p>
    <w:p w:rsidR="007A7C3D" w:rsidRPr="00D060AB" w:rsidRDefault="007A7C3D" w:rsidP="007A7C3D">
      <w:pPr>
        <w:pStyle w:val="Naslov3"/>
        <w:jc w:val="both"/>
        <w:rPr>
          <w:rFonts w:ascii="Arial" w:hAnsi="Arial" w:cs="Arial"/>
          <w:b w:val="0"/>
          <w:color w:val="auto"/>
          <w:sz w:val="22"/>
          <w:szCs w:val="22"/>
          <w:lang w:val="hr-HR"/>
        </w:rPr>
      </w:pPr>
      <w:r w:rsidRPr="00CC6472">
        <w:rPr>
          <w:rFonts w:ascii="Arial" w:hAnsi="Arial" w:cs="Arial"/>
          <w:b w:val="0"/>
          <w:color w:val="auto"/>
          <w:sz w:val="22"/>
          <w:szCs w:val="22"/>
          <w:lang w:val="hr-HR"/>
        </w:rPr>
        <w:t>Jamstvo za ozbiljnost ponude dostavlja se u izvorniku te u preslici</w:t>
      </w:r>
      <w:r w:rsidRPr="00D060AB">
        <w:rPr>
          <w:rFonts w:ascii="Arial" w:hAnsi="Arial" w:cs="Arial"/>
          <w:b w:val="0"/>
          <w:color w:val="auto"/>
          <w:sz w:val="22"/>
          <w:szCs w:val="22"/>
          <w:lang w:val="hr-HR"/>
        </w:rPr>
        <w:t xml:space="preserve">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2B6E9C" w:rsidRDefault="002B6E9C" w:rsidP="002B6E9C">
      <w:pPr>
        <w:rPr>
          <w:lang w:val="hr-HR"/>
        </w:rPr>
      </w:pPr>
    </w:p>
    <w:p w:rsidR="002B6E9C" w:rsidRDefault="002B6E9C" w:rsidP="002B6E9C">
      <w:pPr>
        <w:rPr>
          <w:lang w:val="hr-HR"/>
        </w:rPr>
      </w:pPr>
    </w:p>
    <w:p w:rsidR="002B6E9C" w:rsidRPr="002B6E9C" w:rsidRDefault="002B6E9C" w:rsidP="002B6E9C">
      <w:pPr>
        <w:rPr>
          <w:lang w:val="hr-HR"/>
        </w:rPr>
      </w:pPr>
    </w:p>
    <w:p w:rsidR="007A7C3D" w:rsidRPr="00D060AB" w:rsidRDefault="007A7C3D" w:rsidP="007A7C3D">
      <w:pPr>
        <w:pStyle w:val="Naslov3"/>
        <w:ind w:left="708"/>
        <w:jc w:val="both"/>
        <w:rPr>
          <w:rFonts w:ascii="Arial" w:hAnsi="Arial" w:cs="Arial"/>
          <w:b w:val="0"/>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 xml:space="preserve">Jamstvo za ozbiljnost ponude - </w:t>
            </w:r>
            <w:proofErr w:type="spellStart"/>
            <w:r w:rsidRPr="000260E8">
              <w:rPr>
                <w:rFonts w:ascii="Arial" w:hAnsi="Arial" w:cs="Arial"/>
                <w:sz w:val="22"/>
                <w:szCs w:val="22"/>
                <w:lang w:val="hr-HR"/>
              </w:rPr>
              <w:t>Ev</w:t>
            </w:r>
            <w:proofErr w:type="spellEnd"/>
            <w:r w:rsidRPr="000260E8">
              <w:rPr>
                <w:rFonts w:ascii="Arial" w:hAnsi="Arial" w:cs="Arial"/>
                <w:sz w:val="22"/>
                <w:szCs w:val="22"/>
                <w:lang w:val="hr-HR"/>
              </w:rPr>
              <w:t xml:space="preserve">. br. </w:t>
            </w:r>
            <w:r w:rsidR="000260E8" w:rsidRPr="000260E8">
              <w:rPr>
                <w:rFonts w:ascii="Arial" w:hAnsi="Arial" w:cs="Arial"/>
                <w:sz w:val="22"/>
                <w:szCs w:val="22"/>
                <w:lang w:val="hr-HR"/>
              </w:rPr>
              <w:t>OPMV/2022</w:t>
            </w:r>
            <w:r w:rsidRPr="000260E8">
              <w:rPr>
                <w:rFonts w:ascii="Arial" w:hAnsi="Arial" w:cs="Arial"/>
                <w:sz w:val="22"/>
                <w:szCs w:val="22"/>
                <w:lang w:val="hr-HR"/>
              </w:rPr>
              <w:t>-</w:t>
            </w:r>
            <w:r w:rsidR="002B6E9C">
              <w:rPr>
                <w:rFonts w:ascii="Arial" w:hAnsi="Arial" w:cs="Arial"/>
                <w:sz w:val="22"/>
                <w:szCs w:val="22"/>
                <w:lang w:val="hr-HR"/>
              </w:rPr>
              <w:t>11</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0260E8" w:rsidRDefault="007A7C3D" w:rsidP="007A7C3D">
      <w:pPr>
        <w:jc w:val="both"/>
        <w:rPr>
          <w:rFonts w:ascii="Arial" w:hAnsi="Arial" w:cs="Arial"/>
          <w:sz w:val="22"/>
          <w:szCs w:val="22"/>
          <w:lang w:val="hr-HR"/>
        </w:rPr>
      </w:pPr>
      <w:r w:rsidRPr="000260E8">
        <w:rPr>
          <w:rFonts w:ascii="Arial" w:hAnsi="Arial" w:cs="Arial"/>
          <w:sz w:val="22"/>
          <w:szCs w:val="22"/>
          <w:lang w:val="hr-HR"/>
        </w:rPr>
        <w:t>U slučaju da ponuditelj uplaćuje novčani polog, dužan je u ponudi dostaviti dokaz o uplati                  (</w:t>
      </w:r>
      <w:proofErr w:type="spellStart"/>
      <w:r w:rsidRPr="000260E8">
        <w:rPr>
          <w:rFonts w:ascii="Arial" w:hAnsi="Arial" w:cs="Arial"/>
          <w:sz w:val="22"/>
          <w:szCs w:val="22"/>
          <w:lang w:val="hr-HR"/>
        </w:rPr>
        <w:t>npr</w:t>
      </w:r>
      <w:proofErr w:type="spellEnd"/>
      <w:r w:rsidRPr="000260E8">
        <w:rPr>
          <w:rFonts w:ascii="Arial" w:hAnsi="Arial" w:cs="Arial"/>
          <w:sz w:val="22"/>
          <w:szCs w:val="22"/>
          <w:lang w:val="hr-HR"/>
        </w:rPr>
        <w:t xml:space="preserve">. preslika uplatnice, ispis potvrde o uplati). </w:t>
      </w:r>
    </w:p>
    <w:p w:rsidR="007A7C3D" w:rsidRPr="000260E8" w:rsidRDefault="007A7C3D" w:rsidP="007A7C3D">
      <w:pPr>
        <w:tabs>
          <w:tab w:val="left" w:pos="993"/>
        </w:tabs>
        <w:jc w:val="both"/>
        <w:rPr>
          <w:rFonts w:ascii="Arial" w:hAnsi="Arial" w:cs="Arial"/>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4469F6" w:rsidRDefault="0024716A" w:rsidP="005A50DB">
            <w:pPr>
              <w:spacing w:line="276" w:lineRule="auto"/>
              <w:jc w:val="center"/>
              <w:rPr>
                <w:rFonts w:ascii="Arial" w:hAnsi="Arial" w:cs="Arial"/>
                <w:bCs/>
                <w:sz w:val="22"/>
                <w:szCs w:val="22"/>
                <w:lang w:val="hr-HR"/>
              </w:rPr>
            </w:pPr>
            <w:r w:rsidRPr="004469F6">
              <w:rPr>
                <w:rFonts w:ascii="Arial" w:hAnsi="Arial" w:cs="Arial"/>
                <w:sz w:val="22"/>
                <w:szCs w:val="22"/>
                <w:lang w:val="hr-HR"/>
              </w:rPr>
              <w:t xml:space="preserve">Radovi </w:t>
            </w:r>
            <w:r w:rsidR="004469F6" w:rsidRPr="004469F6">
              <w:rPr>
                <w:rFonts w:ascii="Arial" w:hAnsi="Arial" w:cs="Arial"/>
                <w:sz w:val="22"/>
                <w:szCs w:val="22"/>
                <w:lang w:val="hr-HR"/>
              </w:rPr>
              <w:t xml:space="preserve">sanacije potresom oštećene </w:t>
            </w:r>
            <w:r w:rsidR="00831BF5" w:rsidRPr="004469F6">
              <w:rPr>
                <w:rFonts w:ascii="Arial" w:hAnsi="Arial" w:cs="Arial"/>
                <w:sz w:val="22"/>
                <w:szCs w:val="22"/>
                <w:lang w:val="hr-HR"/>
              </w:rPr>
              <w:t xml:space="preserve">Osnovne škole Ljudevita </w:t>
            </w:r>
            <w:proofErr w:type="spellStart"/>
            <w:r w:rsidR="00831BF5" w:rsidRPr="004469F6">
              <w:rPr>
                <w:rFonts w:ascii="Arial" w:hAnsi="Arial" w:cs="Arial"/>
                <w:sz w:val="22"/>
                <w:szCs w:val="22"/>
                <w:lang w:val="hr-HR"/>
              </w:rPr>
              <w:t>Modeca</w:t>
            </w:r>
            <w:proofErr w:type="spellEnd"/>
            <w:r w:rsidR="000653BE" w:rsidRPr="004469F6">
              <w:rPr>
                <w:rFonts w:ascii="Arial" w:hAnsi="Arial" w:cs="Arial"/>
                <w:sz w:val="22"/>
                <w:szCs w:val="22"/>
                <w:lang w:val="hr-HR"/>
              </w:rPr>
              <w:t xml:space="preserve"> Križevci</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912C3D">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912C3D"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 xml:space="preserve">Jamstvo za uredno ispunjenje ugovora </w:t>
            </w:r>
            <w:proofErr w:type="spellStart"/>
            <w:r w:rsidRPr="00BE2F74">
              <w:rPr>
                <w:rFonts w:ascii="Arial" w:hAnsi="Arial" w:cs="Arial"/>
                <w:sz w:val="22"/>
                <w:szCs w:val="22"/>
                <w:lang w:val="hr-HR"/>
              </w:rPr>
              <w:t>Ev</w:t>
            </w:r>
            <w:proofErr w:type="spellEnd"/>
            <w:r w:rsidR="000260E8" w:rsidRPr="00BE2F74">
              <w:rPr>
                <w:rFonts w:ascii="Arial" w:hAnsi="Arial" w:cs="Arial"/>
                <w:sz w:val="22"/>
                <w:szCs w:val="22"/>
                <w:lang w:val="hr-HR"/>
              </w:rPr>
              <w:t>. br. OPMV/2022</w:t>
            </w:r>
            <w:r w:rsidRPr="00BE2F74">
              <w:rPr>
                <w:rFonts w:ascii="Arial" w:hAnsi="Arial" w:cs="Arial"/>
                <w:sz w:val="22"/>
                <w:szCs w:val="22"/>
                <w:lang w:val="hr-HR"/>
              </w:rPr>
              <w:t>-</w:t>
            </w:r>
            <w:r w:rsidR="00912C3D">
              <w:rPr>
                <w:rFonts w:ascii="Arial" w:hAnsi="Arial" w:cs="Arial"/>
                <w:sz w:val="22"/>
                <w:szCs w:val="22"/>
                <w:lang w:val="hr-HR"/>
              </w:rPr>
              <w:t>11</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912C3D">
        <w:rPr>
          <w:rFonts w:ascii="Arial" w:hAnsi="Arial" w:cs="Arial"/>
          <w:sz w:val="22"/>
          <w:szCs w:val="22"/>
          <w:lang w:val="hr-HR"/>
        </w:rPr>
        <w:t xml:space="preserve">ukladno </w:t>
      </w:r>
      <w:proofErr w:type="spellStart"/>
      <w:r w:rsidR="00912C3D">
        <w:rPr>
          <w:rFonts w:ascii="Arial" w:hAnsi="Arial" w:cs="Arial"/>
          <w:sz w:val="22"/>
          <w:szCs w:val="22"/>
          <w:lang w:val="hr-HR"/>
        </w:rPr>
        <w:t>čl</w:t>
      </w:r>
      <w:proofErr w:type="spellEnd"/>
      <w:r w:rsidR="00912C3D">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 xml:space="preserve">Sukladno članku 214. stavak 5., </w:t>
      </w:r>
      <w:r w:rsidR="00912C3D">
        <w:rPr>
          <w:rFonts w:ascii="Arial" w:hAnsi="Arial" w:cs="Arial"/>
          <w:sz w:val="22"/>
          <w:szCs w:val="22"/>
          <w:lang w:val="hr-HR"/>
        </w:rPr>
        <w:t xml:space="preserve">ZJN </w:t>
      </w:r>
      <w:r w:rsidRPr="00D060AB">
        <w:rPr>
          <w:rFonts w:ascii="Arial" w:hAnsi="Arial" w:cs="Arial"/>
          <w:sz w:val="22"/>
          <w:szCs w:val="22"/>
          <w:lang w:val="hr-HR"/>
        </w:rPr>
        <w:t>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380725" w:rsidRDefault="00380725"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roofErr w:type="spellStart"/>
            <w:r w:rsidRPr="00D060AB">
              <w:rPr>
                <w:rFonts w:ascii="Arial" w:hAnsi="Arial" w:cs="Arial"/>
                <w:sz w:val="22"/>
                <w:szCs w:val="22"/>
                <w:lang w:val="hr-HR"/>
              </w:rPr>
              <w:t>Ev</w:t>
            </w:r>
            <w:proofErr w:type="spellEnd"/>
            <w:r w:rsidRPr="00D060AB">
              <w:rPr>
                <w:rFonts w:ascii="Arial" w:hAnsi="Arial" w:cs="Arial"/>
                <w:sz w:val="22"/>
                <w:szCs w:val="22"/>
                <w:lang w:val="hr-HR"/>
              </w:rPr>
              <w:t xml:space="preserve">. br. </w:t>
            </w:r>
            <w:r w:rsidR="00881205" w:rsidRPr="0024716A">
              <w:rPr>
                <w:rFonts w:ascii="Arial" w:hAnsi="Arial" w:cs="Arial"/>
                <w:sz w:val="22"/>
                <w:szCs w:val="22"/>
                <w:lang w:val="hr-HR"/>
              </w:rPr>
              <w:t>OPMV/2022</w:t>
            </w:r>
            <w:r w:rsidRPr="0024716A">
              <w:rPr>
                <w:rFonts w:ascii="Arial" w:hAnsi="Arial" w:cs="Arial"/>
                <w:sz w:val="22"/>
                <w:szCs w:val="22"/>
                <w:lang w:val="hr-HR"/>
              </w:rPr>
              <w:t>-</w:t>
            </w:r>
            <w:r w:rsidR="00562F86">
              <w:rPr>
                <w:rFonts w:ascii="Arial" w:hAnsi="Arial" w:cs="Arial"/>
                <w:sz w:val="22"/>
                <w:szCs w:val="22"/>
                <w:lang w:val="hr-HR"/>
              </w:rPr>
              <w:t>11</w:t>
            </w: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 a najmanje dvije (2) godine,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 xml:space="preserve">Ukoliko Izvršitelj ugovora na poziv Naručitelja ne ukloni nedostatke u primjerenom roku koji odredi Naručitelj, Naručitelj će aktivirati jamstvo.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AD7C74"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00BE399E">
        <w:rPr>
          <w:rFonts w:ascii="Arial" w:hAnsi="Arial" w:cs="Arial"/>
          <w:b/>
          <w:bCs/>
          <w:sz w:val="22"/>
          <w:szCs w:val="22"/>
          <w:lang w:val="hr-HR"/>
        </w:rPr>
        <w:t xml:space="preserve"> 29.12.2022. godine do 10</w:t>
      </w:r>
      <w:r w:rsidR="00AD7C74">
        <w:rPr>
          <w:rFonts w:ascii="Arial" w:hAnsi="Arial" w:cs="Arial"/>
          <w:b/>
          <w:bCs/>
          <w:sz w:val="22"/>
          <w:szCs w:val="22"/>
          <w:lang w:val="hr-HR"/>
        </w:rPr>
        <w:t>:00 sati.</w:t>
      </w:r>
      <w:r w:rsidRPr="00D060AB">
        <w:rPr>
          <w:rFonts w:ascii="Arial" w:hAnsi="Arial" w:cs="Arial"/>
          <w:b/>
          <w:sz w:val="22"/>
          <w:szCs w:val="22"/>
          <w:lang w:val="hr-HR"/>
        </w:rPr>
        <w:t xml:space="preserve"> </w:t>
      </w: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w:t>
      </w:r>
      <w:r w:rsidR="00912C3D">
        <w:rPr>
          <w:rFonts w:ascii="Arial" w:hAnsi="Arial" w:cs="Arial"/>
          <w:color w:val="000000"/>
          <w:sz w:val="22"/>
          <w:szCs w:val="22"/>
          <w:lang w:val="hr-HR"/>
        </w:rPr>
        <w:t>čajevima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00BE399E">
        <w:rPr>
          <w:rFonts w:ascii="Arial" w:hAnsi="Arial" w:cs="Arial"/>
          <w:b/>
          <w:bCs/>
          <w:sz w:val="22"/>
          <w:szCs w:val="22"/>
          <w:lang w:val="hr-HR"/>
        </w:rPr>
        <w:t>29.12.2022. godine u 10</w:t>
      </w:r>
      <w:r w:rsidR="00AD7C74">
        <w:rPr>
          <w:rFonts w:ascii="Arial" w:hAnsi="Arial" w:cs="Arial"/>
          <w:b/>
          <w:bCs/>
          <w:sz w:val="22"/>
          <w:szCs w:val="22"/>
          <w:lang w:val="hr-HR"/>
        </w:rPr>
        <w:t>:00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4D0FD4" w:rsidRPr="00D060AB" w:rsidRDefault="004D0FD4"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0C03FD" w:rsidRPr="00D060AB" w:rsidRDefault="000C03F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sukladno </w:t>
      </w:r>
      <w:r w:rsidR="00C54C62">
        <w:rPr>
          <w:rFonts w:ascii="Arial" w:hAnsi="Arial" w:cs="Arial"/>
          <w:sz w:val="22"/>
          <w:szCs w:val="22"/>
          <w:lang w:val="hr-HR"/>
        </w:rPr>
        <w:t>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Pr="00011557" w:rsidRDefault="00C54C62" w:rsidP="007A7C3D">
      <w:pPr>
        <w:jc w:val="both"/>
        <w:rPr>
          <w:rFonts w:ascii="Arial" w:hAnsi="Arial" w:cs="Arial"/>
          <w:sz w:val="22"/>
          <w:szCs w:val="22"/>
          <w:lang w:val="hr-HR"/>
        </w:rPr>
      </w:pPr>
      <w:r>
        <w:rPr>
          <w:rFonts w:ascii="Arial" w:hAnsi="Arial" w:cs="Arial"/>
          <w:sz w:val="22"/>
          <w:szCs w:val="22"/>
          <w:lang w:val="hr-HR"/>
        </w:rPr>
        <w:t>Sukladno članku 406. ZJN</w:t>
      </w:r>
      <w:r w:rsidR="007A7C3D" w:rsidRPr="00011557">
        <w:rPr>
          <w:rFonts w:ascii="Arial" w:hAnsi="Arial" w:cs="Arial"/>
          <w:sz w:val="22"/>
          <w:szCs w:val="22"/>
          <w:lang w:val="hr-HR"/>
        </w:rPr>
        <w:t xml:space="preserve"> 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C54C62" w:rsidRDefault="00C54C62" w:rsidP="007A7C3D">
      <w:pPr>
        <w:jc w:val="both"/>
        <w:rPr>
          <w:rFonts w:ascii="Arial" w:hAnsi="Arial" w:cs="Arial"/>
          <w:color w:val="FF0000"/>
          <w:sz w:val="22"/>
          <w:szCs w:val="22"/>
          <w:lang w:val="hr-HR"/>
        </w:rPr>
      </w:pPr>
    </w:p>
    <w:p w:rsidR="00C54C62" w:rsidRPr="00C254DD" w:rsidRDefault="00C54C62"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lastRenderedPageBreak/>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Pr="00D060AB" w:rsidRDefault="007A7C3D" w:rsidP="007A7C3D">
      <w:pPr>
        <w:jc w:val="both"/>
        <w:rPr>
          <w:rFonts w:ascii="Arial" w:hAnsi="Arial" w:cs="Arial"/>
          <w:iCs/>
          <w:sz w:val="22"/>
          <w:szCs w:val="22"/>
          <w:lang w:val="hr-HR"/>
        </w:rPr>
      </w:pPr>
      <w:bookmarkStart w:id="46" w:name="_Toc372881635"/>
      <w:r w:rsidRPr="00D060AB">
        <w:rPr>
          <w:rFonts w:ascii="Arial" w:hAnsi="Arial" w:cs="Arial"/>
          <w:sz w:val="22"/>
          <w:szCs w:val="22"/>
          <w:lang w:val="hr-HR"/>
        </w:rPr>
        <w:t>Izmjene ugovora o javnoj nabavi moguće su suk</w:t>
      </w:r>
      <w:r w:rsidR="00C54C62">
        <w:rPr>
          <w:rFonts w:ascii="Arial" w:hAnsi="Arial" w:cs="Arial"/>
          <w:sz w:val="22"/>
          <w:szCs w:val="22"/>
          <w:lang w:val="hr-HR"/>
        </w:rPr>
        <w:t>ladno člancima  316. i 317.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C54C62">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0F2A12" w:rsidRDefault="000F2A12"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C54C62">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95" w:rsidRDefault="00CD0F95" w:rsidP="00837D17">
      <w:r>
        <w:separator/>
      </w:r>
    </w:p>
  </w:endnote>
  <w:endnote w:type="continuationSeparator" w:id="0">
    <w:p w:rsidR="00CD0F95" w:rsidRDefault="00CD0F95"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7A6274" w:rsidRDefault="0041440C">
        <w:pPr>
          <w:pStyle w:val="Podnoje"/>
          <w:jc w:val="right"/>
        </w:pPr>
        <w:fldSimple w:instr=" PAGE   \* MERGEFORMAT ">
          <w:r w:rsidR="00BE399E">
            <w:rPr>
              <w:noProof/>
            </w:rPr>
            <w:t>23</w:t>
          </w:r>
        </w:fldSimple>
      </w:p>
    </w:sdtContent>
  </w:sdt>
  <w:p w:rsidR="007A6274" w:rsidRDefault="007A6274">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95" w:rsidRDefault="00CD0F95" w:rsidP="00837D17">
      <w:r>
        <w:separator/>
      </w:r>
    </w:p>
  </w:footnote>
  <w:footnote w:type="continuationSeparator" w:id="0">
    <w:p w:rsidR="00CD0F95" w:rsidRDefault="00CD0F95"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11557"/>
    <w:rsid w:val="000260E8"/>
    <w:rsid w:val="000653BE"/>
    <w:rsid w:val="00067227"/>
    <w:rsid w:val="0007322A"/>
    <w:rsid w:val="0007702C"/>
    <w:rsid w:val="000970BA"/>
    <w:rsid w:val="000A5D89"/>
    <w:rsid w:val="000B0E7E"/>
    <w:rsid w:val="000C03FD"/>
    <w:rsid w:val="000E3610"/>
    <w:rsid w:val="000F2A12"/>
    <w:rsid w:val="00107FBC"/>
    <w:rsid w:val="001247B3"/>
    <w:rsid w:val="001570D9"/>
    <w:rsid w:val="00167227"/>
    <w:rsid w:val="00174B2E"/>
    <w:rsid w:val="00180168"/>
    <w:rsid w:val="00185617"/>
    <w:rsid w:val="0019709C"/>
    <w:rsid w:val="001B4F06"/>
    <w:rsid w:val="001D1A83"/>
    <w:rsid w:val="00206EFE"/>
    <w:rsid w:val="002201C6"/>
    <w:rsid w:val="0024716A"/>
    <w:rsid w:val="002B6E9C"/>
    <w:rsid w:val="002C2E28"/>
    <w:rsid w:val="002C65A9"/>
    <w:rsid w:val="002E62B9"/>
    <w:rsid w:val="002F5E22"/>
    <w:rsid w:val="00306969"/>
    <w:rsid w:val="00306BD7"/>
    <w:rsid w:val="00320100"/>
    <w:rsid w:val="00324D18"/>
    <w:rsid w:val="00332756"/>
    <w:rsid w:val="00334AC3"/>
    <w:rsid w:val="003433DA"/>
    <w:rsid w:val="003521A3"/>
    <w:rsid w:val="00352F62"/>
    <w:rsid w:val="00380725"/>
    <w:rsid w:val="003C34C2"/>
    <w:rsid w:val="00413FC2"/>
    <w:rsid w:val="0041440C"/>
    <w:rsid w:val="004469F6"/>
    <w:rsid w:val="00455968"/>
    <w:rsid w:val="00457FD2"/>
    <w:rsid w:val="00484BB4"/>
    <w:rsid w:val="00492094"/>
    <w:rsid w:val="004D012B"/>
    <w:rsid w:val="004D0FD4"/>
    <w:rsid w:val="004D67F9"/>
    <w:rsid w:val="004E0043"/>
    <w:rsid w:val="004E38A7"/>
    <w:rsid w:val="004F6576"/>
    <w:rsid w:val="004F78FC"/>
    <w:rsid w:val="00520223"/>
    <w:rsid w:val="00530201"/>
    <w:rsid w:val="00531D56"/>
    <w:rsid w:val="0054465B"/>
    <w:rsid w:val="00562F86"/>
    <w:rsid w:val="0058250B"/>
    <w:rsid w:val="00596B1F"/>
    <w:rsid w:val="005A50DB"/>
    <w:rsid w:val="005B51B6"/>
    <w:rsid w:val="005B7649"/>
    <w:rsid w:val="005D6DCE"/>
    <w:rsid w:val="005E162A"/>
    <w:rsid w:val="005E7743"/>
    <w:rsid w:val="0061141B"/>
    <w:rsid w:val="00615FE3"/>
    <w:rsid w:val="00617687"/>
    <w:rsid w:val="00642B18"/>
    <w:rsid w:val="00646609"/>
    <w:rsid w:val="006773E4"/>
    <w:rsid w:val="00683792"/>
    <w:rsid w:val="00691C5C"/>
    <w:rsid w:val="006B77E9"/>
    <w:rsid w:val="006D2ACE"/>
    <w:rsid w:val="006E056B"/>
    <w:rsid w:val="007012B5"/>
    <w:rsid w:val="00711B46"/>
    <w:rsid w:val="00740823"/>
    <w:rsid w:val="00744E22"/>
    <w:rsid w:val="0074612F"/>
    <w:rsid w:val="0075501F"/>
    <w:rsid w:val="00757D7B"/>
    <w:rsid w:val="00757EF9"/>
    <w:rsid w:val="007A6274"/>
    <w:rsid w:val="007A7C3D"/>
    <w:rsid w:val="007B6D26"/>
    <w:rsid w:val="007C24D8"/>
    <w:rsid w:val="007C545F"/>
    <w:rsid w:val="007F288E"/>
    <w:rsid w:val="008022AB"/>
    <w:rsid w:val="0083020D"/>
    <w:rsid w:val="00831BF5"/>
    <w:rsid w:val="00837D17"/>
    <w:rsid w:val="00854D27"/>
    <w:rsid w:val="0087561E"/>
    <w:rsid w:val="00881205"/>
    <w:rsid w:val="008A050E"/>
    <w:rsid w:val="008B6A00"/>
    <w:rsid w:val="008C46D7"/>
    <w:rsid w:val="008D068F"/>
    <w:rsid w:val="008E3659"/>
    <w:rsid w:val="008F1660"/>
    <w:rsid w:val="00912C3D"/>
    <w:rsid w:val="00913DFE"/>
    <w:rsid w:val="00926EF5"/>
    <w:rsid w:val="0094119E"/>
    <w:rsid w:val="009766D3"/>
    <w:rsid w:val="009826BE"/>
    <w:rsid w:val="00997112"/>
    <w:rsid w:val="009B6CA5"/>
    <w:rsid w:val="00A13979"/>
    <w:rsid w:val="00A21531"/>
    <w:rsid w:val="00A273D9"/>
    <w:rsid w:val="00A528DC"/>
    <w:rsid w:val="00AB13D5"/>
    <w:rsid w:val="00AB1B78"/>
    <w:rsid w:val="00AD7C74"/>
    <w:rsid w:val="00B732FE"/>
    <w:rsid w:val="00B948C3"/>
    <w:rsid w:val="00BE2F74"/>
    <w:rsid w:val="00BE399E"/>
    <w:rsid w:val="00BF5609"/>
    <w:rsid w:val="00C17F19"/>
    <w:rsid w:val="00C202E2"/>
    <w:rsid w:val="00C23539"/>
    <w:rsid w:val="00C254DD"/>
    <w:rsid w:val="00C2787B"/>
    <w:rsid w:val="00C32F4A"/>
    <w:rsid w:val="00C429F9"/>
    <w:rsid w:val="00C50DAC"/>
    <w:rsid w:val="00C54C62"/>
    <w:rsid w:val="00C67AC8"/>
    <w:rsid w:val="00CC6472"/>
    <w:rsid w:val="00CC6BA1"/>
    <w:rsid w:val="00CD0F95"/>
    <w:rsid w:val="00CF1F70"/>
    <w:rsid w:val="00D060AB"/>
    <w:rsid w:val="00D20350"/>
    <w:rsid w:val="00D34966"/>
    <w:rsid w:val="00D402FF"/>
    <w:rsid w:val="00D5241C"/>
    <w:rsid w:val="00D8251E"/>
    <w:rsid w:val="00D970D9"/>
    <w:rsid w:val="00DC5E18"/>
    <w:rsid w:val="00DC6072"/>
    <w:rsid w:val="00DE40A0"/>
    <w:rsid w:val="00DE46E9"/>
    <w:rsid w:val="00DE4BF6"/>
    <w:rsid w:val="00E01F67"/>
    <w:rsid w:val="00E04C9C"/>
    <w:rsid w:val="00E21B1B"/>
    <w:rsid w:val="00E313C1"/>
    <w:rsid w:val="00E51471"/>
    <w:rsid w:val="00E8476A"/>
    <w:rsid w:val="00E97F66"/>
    <w:rsid w:val="00EF6652"/>
    <w:rsid w:val="00F00C8D"/>
    <w:rsid w:val="00F0330D"/>
    <w:rsid w:val="00F246FF"/>
    <w:rsid w:val="00F356C0"/>
    <w:rsid w:val="00F57174"/>
    <w:rsid w:val="00F62632"/>
    <w:rsid w:val="00F85DED"/>
    <w:rsid w:val="00F91FE2"/>
    <w:rsid w:val="00F97278"/>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8438</Words>
  <Characters>48099</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145</cp:revision>
  <cp:lastPrinted>2022-06-20T13:29:00Z</cp:lastPrinted>
  <dcterms:created xsi:type="dcterms:W3CDTF">2022-06-20T07:00:00Z</dcterms:created>
  <dcterms:modified xsi:type="dcterms:W3CDTF">2022-12-05T08:25:00Z</dcterms:modified>
</cp:coreProperties>
</file>